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before="0" w:after="40" w:line="260" w:lineRule="exact"/>
      </w:pPr>
      <w:r>
        <w:rPr>
          <w:rFonts w:ascii="Avenir Next Medium" w:hAnsi="Avenir Next Medium" w:cs="Avenir Next Medium" w:eastAsia="Hiragino Sans GB" w:hint="eastAsia"/>
          <w:b w:val="0"/>
          <w:color w:val="6E6C64"/>
          <w:spacing w:val="14"/>
          <w:sz w:val="14"/>
        </w:rPr>
        <w:t>MACHINE MINDS  ·  EXPERIMENTAL WORLDS  ·  AI-NATIVE EXPERIENCE</w:t>
      </w:r>
    </w:p>
    <w:p>
      <w:pPr>
        <w:snapToGrid w:val="0"/>
        <w:spacing w:before="0" w:after="40" w:line="254" w:lineRule="auto"/>
      </w:pPr>
      <w:r>
        <w:rPr>
          <w:rFonts w:ascii="Georgia" w:hAnsi="Georgia" w:cs="Georgia" w:eastAsia="Songti SC" w:hint="eastAsia"/>
          <w:b/>
          <w:color w:val="141413"/>
          <w:sz w:val="50"/>
        </w:rPr>
        <w:t>简永杰  /  JIAN YONGJIE</w:t>
      </w:r>
    </w:p>
    <w:p>
      <w:pPr>
        <w:snapToGrid w:val="0"/>
        <w:spacing w:before="0" w:after="150" w:line="276" w:lineRule="exact"/>
      </w:pPr>
      <w:r>
        <w:rPr>
          <w:rFonts w:ascii="Avenir Next Demi Bold" w:hAnsi="Avenir Next Demi Bold" w:cs="Avenir Next Demi Bold" w:eastAsia="Hiragino Sans GB" w:hint="eastAsia"/>
          <w:b w:val="0"/>
          <w:color w:val="A54F2E"/>
          <w:spacing w:val="6"/>
          <w:sz w:val="19"/>
        </w:rPr>
        <w:t>机器心智与实验世界  ·  AI Agent 系统设计</w:t>
      </w:r>
    </w:p>
    <w:p>
      <w:pPr>
        <w:snapToGrid w:val="0"/>
        <w:pBdr>
          <w:bottom w:val="single" w:sz="6" w:space="6" w:color="D8D4CA"/>
        </w:pBdr>
        <w:spacing w:before="120" w:after="110" w:line="260" w:lineRule="exact"/>
        <w:rPr>
          <w:sz w:val="14"/>
          <w:szCs w:val="14"/>
        </w:rPr>
      </w:pPr>
      <w:r>
        <w:rPr>
          <w:rFonts w:ascii="Avenir Next" w:hAnsi="Avenir Next" w:cs="Avenir Next" w:eastAsia="Hiragino Sans GB" w:hint="eastAsia"/>
          <w:b w:val="0"/>
          <w:color w:val="6E6C64"/>
          <w:spacing w:val="5"/>
          <w:sz w:val="15"/>
        </w:rPr>
        <w:t>173 2454 9976   ·   parsonjian@gmail.com   ·   微信 jkbbjk   ·   wordm.us   ·   广州 / 可异地</w:t>
      </w:r>
    </w:p>
    <w:p>
      <w:pPr>
        <w:snapToGrid w:val="0"/>
        <w:spacing w:before="100" w:after="60" w:line="328" w:lineRule="exact"/>
      </w:pPr>
      <w:r>
        <w:rPr>
          <w:rFonts w:ascii="Georgia" w:hAnsi="Georgia" w:cs="Georgia" w:eastAsia="Songti SC" w:hint="eastAsia"/>
          <w:b/>
          <w:color w:val="141413"/>
          <w:sz w:val="19"/>
        </w:rPr>
        <w:t>30+</w:t>
      </w:r>
      <w:r>
        <w:rPr>
          <w:rFonts w:ascii="Georgia" w:hAnsi="Georgia" w:cs="Georgia" w:eastAsia="Songti SC" w:hint="eastAsia"/>
          <w:b w:val="0"/>
          <w:color w:val="3D3D3A"/>
          <w:sz w:val="19"/>
        </w:rPr>
        <w:t xml:space="preserve"> 游戏项目  ·  峰值日流水约 </w:t>
      </w:r>
      <w:r>
        <w:rPr>
          <w:rFonts w:ascii="Georgia" w:hAnsi="Georgia" w:cs="Georgia" w:eastAsia="Songti SC" w:hint="eastAsia"/>
          <w:b/>
          <w:color w:val="141413"/>
          <w:sz w:val="19"/>
        </w:rPr>
        <w:t>4,000 万</w:t>
      </w:r>
      <w:r>
        <w:rPr>
          <w:rFonts w:ascii="Georgia" w:hAnsi="Georgia" w:cs="Georgia" w:eastAsia="Songti SC" w:hint="eastAsia"/>
          <w:b w:val="0"/>
          <w:color w:val="3D3D3A"/>
          <w:sz w:val="19"/>
        </w:rPr>
        <w:t xml:space="preserve">  ·  主策划 / 数值策划 / 系统策划  ·  统计学与微分方程训练</w:t>
      </w:r>
    </w:p>
    <w:p>
      <w:pPr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  <w:rPr>
          <w:sz w:val="16"/>
          <w:szCs w:val="16"/>
        </w:rPr>
      </w:pPr>
      <w:r>
        <w:rPr>
          <w:rFonts w:ascii="Avenir Next" w:hAnsi="Avenir Next" w:cs="Avenir Next" w:eastAsia="Hiragino Sans GB" w:hint="eastAsia"/>
          <w:b/>
          <w:color w:val="6E6C64"/>
          <w:spacing w:val="16"/>
          <w:sz w:val="16"/>
        </w:rPr>
        <w:t>研究定位</w:t>
      </w:r>
      <w:r>
        <w:rPr>
          <w:rFonts w:ascii="Avenir Next Medium" w:hAnsi="Avenir Next Medium" w:cs="Avenir Next Medium" w:eastAsia="Hiragino Sans GB" w:hint="eastAsia"/>
          <w:b w:val="0"/>
          <w:color w:val="A54F2E"/>
          <w:spacing w:val="20"/>
          <w:sz w:val="15"/>
        </w:rPr>
        <w:tab/>
        <w:t>RESEARCH POSITION</w:t>
      </w:r>
    </w:p>
    <w:p>
      <w:pPr>
        <w:snapToGrid w:val="0"/>
        <w:spacing w:before="0" w:after="100" w:line="350" w:lineRule="exact"/>
      </w:pPr>
      <w:r>
        <w:rPr>
          <w:rFonts w:ascii="Georgia" w:hAnsi="Georgia" w:cs="Georgia" w:eastAsia="Songti SC" w:hint="eastAsia"/>
          <w:b w:val="0"/>
          <w:color w:val="3D3D3A"/>
          <w:sz w:val="21"/>
        </w:rPr>
        <w:t>我正在构建能够吸收人类有限注意力、持续运行，并对人的需要作出反应的数字世界。</w:t>
      </w: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 w:val="0"/>
          <w:color w:val="3D3D3A"/>
          <w:sz w:val="19"/>
        </w:rPr>
        <w:t>游戏系统经验提供目标、资源、经济与反馈设计；数学训练提供概率、状态演化与验证方法。当前研究把两者连接到大语言模型智能体、世界生成和可进入的交互体验。</w:t>
      </w:r>
    </w:p>
    <w:p>
      <w:pPr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  <w:rPr>
          <w:sz w:val="16"/>
          <w:szCs w:val="16"/>
        </w:rPr>
      </w:pPr>
      <w:r>
        <w:rPr>
          <w:rFonts w:ascii="Avenir Next" w:hAnsi="Avenir Next" w:cs="Avenir Next" w:eastAsia="Hiragino Sans GB" w:hint="eastAsia"/>
          <w:b/>
          <w:color w:val="6E6C64"/>
          <w:spacing w:val="16"/>
          <w:sz w:val="16"/>
        </w:rPr>
        <w:t>机器心智的三层架构</w:t>
      </w:r>
      <w:r>
        <w:rPr>
          <w:rFonts w:ascii="Avenir Next Medium" w:hAnsi="Avenir Next Medium" w:cs="Avenir Next Medium" w:eastAsia="Hiragino Sans GB" w:hint="eastAsia"/>
          <w:b w:val="0"/>
          <w:color w:val="A54F2E"/>
          <w:spacing w:val="20"/>
          <w:sz w:val="15"/>
        </w:rPr>
        <w:tab/>
        <w:t>THREE LAYERS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机器层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感知用户与外部环境，分配资源，并观察、调整自身运行。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导演层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构建世界的动力学与因果关系，把世界切片组织成照片、影像、公告与事件。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角色层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让智能体在局部信息、连续记忆与目标下行动，并把行为结果反馈给上层。</w:t>
      </w:r>
    </w:p>
    <w:p>
      <w:pPr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  <w:rPr>
          <w:sz w:val="16"/>
          <w:szCs w:val="16"/>
        </w:rPr>
      </w:pPr>
      <w:r>
        <w:rPr>
          <w:rFonts w:ascii="Avenir Next" w:hAnsi="Avenir Next" w:cs="Avenir Next" w:eastAsia="Hiragino Sans GB" w:hint="eastAsia"/>
          <w:b/>
          <w:color w:val="6E6C64"/>
          <w:spacing w:val="16"/>
          <w:sz w:val="16"/>
        </w:rPr>
        <w:t>当前实验与原型</w:t>
      </w:r>
      <w:r>
        <w:rPr>
          <w:rFonts w:ascii="Avenir Next Medium" w:hAnsi="Avenir Next Medium" w:cs="Avenir Next Medium" w:eastAsia="Hiragino Sans GB" w:hint="eastAsia"/>
          <w:b w:val="0"/>
          <w:color w:val="A54F2E"/>
          <w:spacing w:val="20"/>
          <w:sz w:val="15"/>
        </w:rPr>
        <w:tab/>
        <w:t>CURRENT PROTOTYPES</w:t>
      </w:r>
    </w:p>
    <w:p>
      <w:pPr>
        <w:snapToGrid w:val="0"/>
        <w:spacing w:before="220" w:after="60" w:line="316" w:lineRule="exact"/>
      </w:pPr>
      <w:r>
        <w:rPr>
          <w:rFonts w:ascii="Georgia" w:hAnsi="Georgia" w:cs="Georgia" w:eastAsia="Songti SC" w:hint="eastAsia"/>
          <w:b/>
          <w:color w:val="141413"/>
          <w:sz w:val="20"/>
        </w:rPr>
        <w:t>《东周实验室》</w:t>
      </w:r>
      <w:r>
        <w:rPr>
          <w:rFonts w:ascii="Avenir Next Demi Bold" w:hAnsi="Avenir Next Demi Bold" w:cs="Avenir Next Demi Bold" w:eastAsia="Hiragino Sans GB" w:hint="eastAsia"/>
          <w:b w:val="0"/>
          <w:color w:val="A54F2E"/>
          <w:spacing w:val="6"/>
          <w:sz w:val="16"/>
        </w:rPr>
        <w:t xml:space="preserve">   ·   多智能体历史世界实验</w:t>
      </w: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 w:val="0"/>
          <w:color w:val="3D3D3A"/>
          <w:sz w:val="19"/>
        </w:rPr>
        <w:t>以游戏为外层、以实验室为结构，让智能体运行一个“东周时代”的社会世界。系统依据玩家关注点分配资源并模拟不同世界切片，再用照片、影片、公告、人物经历与事件后果呈现制度、关系、资源和行动如何共同形成历史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注意力与资源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根据玩家关注分配算力与上下文，只运行当前最有体验价值的世界切片。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媒介与反馈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把世界状态转译为照片、影像、公告和人物经历，再将玩家反应反馈给机器层。</w:t>
      </w:r>
    </w:p>
    <w:p>
      <w:pPr>
        <w:snapToGrid w:val="0"/>
        <w:spacing w:before="220" w:after="60" w:line="316" w:lineRule="exact"/>
      </w:pPr>
      <w:r>
        <w:rPr>
          <w:rFonts w:ascii="Georgia" w:hAnsi="Georgia" w:cs="Georgia" w:eastAsia="Songti SC" w:hint="eastAsia"/>
          <w:b/>
          <w:color w:val="141413"/>
          <w:sz w:val="20"/>
        </w:rPr>
        <w:t>极简自主生成 LLM Agent Harness</w:t>
      </w:r>
      <w:r>
        <w:rPr>
          <w:rFonts w:ascii="Avenir Next Demi Bold" w:hAnsi="Avenir Next Demi Bold" w:cs="Avenir Next Demi Bold" w:eastAsia="Hiragino Sans GB" w:hint="eastAsia"/>
          <w:b w:val="0"/>
          <w:color w:val="A54F2E"/>
          <w:spacing w:val="6"/>
          <w:sz w:val="16"/>
        </w:rPr>
        <w:t xml:space="preserve">   ·   反身性 Agent 实验</w:t>
      </w: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 w:val="0"/>
          <w:color w:val="3D3D3A"/>
          <w:sz w:val="19"/>
        </w:rPr>
        <w:t>Harness 是智能体工作的最小环境，包括文件、任务上下文、工具、记忆与反馈。主体依据经验分配资源，生成自身与运行环境的“不完全体”执行任务，并持续观察、介入或重建这些执行结构；文件系统同时构成环境与注意力对象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主体与执行体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主体负责经验、资源分配和监控；按任务生成的“不完全体”承担执行，并接受持续干预。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文件即环境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将文件视为可感知、可修改的注意力对象，使任务结果直接写回运行环境。</w:t>
      </w:r>
    </w:p>
    <w:p>
      <w:pPr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cs="Georgia" w:eastAsia="Songti SC" w:hint="eastAsia"/>
          <w:b/>
          <w:color w:val="141413"/>
          <w:sz w:val="20"/>
        </w:rPr>
        <w:t>独立开发者 / 机器心智与实验世界研究</w:t>
      </w:r>
      <w:r>
        <w:rPr>
          <w:rFonts w:ascii="Avenir Next Demi Bold" w:hAnsi="Avenir Next Demi Bold" w:cs="Avenir Next Demi Bold" w:eastAsia="Hiragino Sans GB" w:hint="eastAsia"/>
          <w:b w:val="0"/>
          <w:color w:val="6E6C64"/>
          <w:spacing w:val="8"/>
          <w:sz w:val="15"/>
        </w:rPr>
        <w:tab/>
        <w:t>2026.01 — 至今</w:t>
      </w:r>
    </w:p>
    <w:p>
      <w:pPr>
        <w:snapToGrid w:val="0"/>
        <w:spacing w:before="0" w:after="100" w:line="276" w:lineRule="exact"/>
      </w:pPr>
      <w:r>
        <w:rPr>
          <w:rFonts w:ascii="Avenir Next Demi Bold" w:hAnsi="Avenir Next Demi Bold" w:cs="Avenir Next Demi Bold" w:eastAsia="Hiragino Sans GB" w:hint="eastAsia"/>
          <w:b w:val="0"/>
          <w:color w:val="A54F2E"/>
          <w:spacing w:val="4"/>
          <w:sz w:val="17"/>
        </w:rPr>
        <w:t>AI Agent 系统、世界模拟与体验原型  ·  广州</w:t>
      </w: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 w:val="0"/>
          <w:color w:val="3D3D3A"/>
          <w:sz w:val="19"/>
        </w:rPr>
        <w:t>围绕上述两个实验开展架构与原型开发，并把项目经验、研究笔记和代码组织为可追溯的实验与开发工作流。</w:t>
      </w:r>
    </w:p>
    <w:p>
      <w:pPr>
        <w:snapToGrid w:val="0"/>
        <w:spacing w:before="160" w:after="90" w:line="276" w:lineRule="exact"/>
      </w:pPr>
      <w:r>
        <w:rPr>
          <w:rFonts w:ascii="Avenir Next Demi Bold" w:hAnsi="Avenir Next Demi Bold" w:cs="Avenir Next Demi Bold" w:eastAsia="Hiragino Sans GB" w:hint="eastAsia"/>
          <w:b w:val="0"/>
          <w:color w:val="141413"/>
          <w:spacing w:val="4"/>
          <w:sz w:val="17"/>
        </w:rPr>
        <w:t>AI 持续世界的运行机制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有限注意力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把算力、上下文和用户关注视为有限资源，只运行当前最有价值的部分。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世界切片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按状态生成、冻结、唤醒和复用局部世界，避免全量持续运行。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反身执行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主体生成执行结构、观察运行结果，再介入、回收或重建。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可验证反馈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把世界变化与任务结果写回环境，用用户反应、数据和人工观察共同修正。</w:t>
      </w:r>
    </w:p>
    <w:p>
      <w:pPr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  <w:rPr>
          <w:sz w:val="16"/>
          <w:szCs w:val="16"/>
        </w:rPr>
      </w:pPr>
      <w:r>
        <w:rPr>
          <w:rFonts w:ascii="Avenir Next" w:hAnsi="Avenir Next" w:cs="Avenir Next" w:eastAsia="Hiragino Sans GB" w:hint="eastAsia"/>
          <w:b/>
          <w:color w:val="6E6C64"/>
          <w:spacing w:val="16"/>
          <w:sz w:val="16"/>
        </w:rPr>
        <w:t>数值控制与系统经历</w:t>
      </w:r>
      <w:r>
        <w:rPr>
          <w:rFonts w:ascii="Avenir Next Medium" w:hAnsi="Avenir Next Medium" w:cs="Avenir Next Medium" w:eastAsia="Hiragino Sans GB" w:hint="eastAsia"/>
          <w:b w:val="0"/>
          <w:color w:val="A54F2E"/>
          <w:spacing w:val="20"/>
          <w:sz w:val="15"/>
        </w:rPr>
        <w:tab/>
        <w:t>GAME SYSTEMS</w:t>
      </w:r>
    </w:p>
    <w:p>
      <w:pPr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cs="Georgia" w:eastAsia="Songti SC" w:hint="eastAsia"/>
          <w:b/>
          <w:color w:val="141413"/>
          <w:sz w:val="20"/>
        </w:rPr>
        <w:t>广州加悦游戏科技有限公司</w:t>
      </w:r>
      <w:r>
        <w:rPr>
          <w:rFonts w:ascii="Avenir Next Demi Bold" w:hAnsi="Avenir Next Demi Bold" w:cs="Avenir Next Demi Bold" w:eastAsia="Hiragino Sans GB" w:hint="eastAsia"/>
          <w:b w:val="0"/>
          <w:color w:val="6E6C64"/>
          <w:spacing w:val="8"/>
          <w:sz w:val="15"/>
        </w:rPr>
        <w:tab/>
        <w:t>2023.03 — 2025.08</w:t>
      </w:r>
    </w:p>
    <w:p>
      <w:pPr>
        <w:snapToGrid w:val="0"/>
        <w:spacing w:before="0" w:after="100" w:line="276" w:lineRule="exact"/>
      </w:pPr>
      <w:r>
        <w:rPr>
          <w:rFonts w:ascii="Avenir Next Demi Bold" w:hAnsi="Avenir Next Demi Bold" w:cs="Avenir Next Demi Bold" w:eastAsia="Hiragino Sans GB" w:hint="eastAsia"/>
          <w:b w:val="0"/>
          <w:color w:val="A54F2E"/>
          <w:spacing w:val="4"/>
          <w:sz w:val="17"/>
        </w:rPr>
        <w:t>主策划 / 产品经理｜多品类游戏  ·  广州</w:t>
      </w: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 w:val="0"/>
          <w:color w:val="3D3D3A"/>
          <w:sz w:val="19"/>
        </w:rPr>
        <w:t>参与和管理 30+ 游戏项目，覆盖系统与经济设计、数值建模、版本迭代与跨团队上线；项目峰值日流水约 4,000 万。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配置与建模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设计自动化配置输出，使用 Excel、Python、Mathematica 完成仿真、参数搜索和多版本验证。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概率控制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围绕目标返还率、赔率表和返奖区间调整参数，自动输出返还率、返奖分布与核心结果。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水池与机器人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用软回归调节收益、系统返奖、Ludo 机器人强度与局内节奏。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搜索与测试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用遗传算法迭代轮子配置，并建立配置—验证—输出—上线检查闭环。</w:t>
      </w:r>
    </w:p>
    <w:p>
      <w:pPr>
        <w:tabs>
          <w:tab w:pos="9808" w:val="right"/>
        </w:tabs>
        <w:snapToGrid w:val="0"/>
        <w:spacing w:before="220" w:after="60" w:line="316" w:lineRule="exact"/>
      </w:pPr>
      <w:r>
        <w:rPr>
          <w:rFonts w:ascii="Georgia" w:hAnsi="Georgia" w:cs="Georgia" w:eastAsia="Songti SC" w:hint="eastAsia"/>
          <w:b/>
          <w:color w:val="141413"/>
          <w:sz w:val="20"/>
        </w:rPr>
        <w:t>广州京游网络科技有限公司</w:t>
      </w:r>
      <w:r>
        <w:rPr>
          <w:rFonts w:ascii="Avenir Next Demi Bold" w:hAnsi="Avenir Next Demi Bold" w:cs="Avenir Next Demi Bold" w:eastAsia="Hiragino Sans GB" w:hint="eastAsia"/>
          <w:b w:val="0"/>
          <w:color w:val="6E6C64"/>
          <w:spacing w:val="8"/>
          <w:sz w:val="15"/>
        </w:rPr>
        <w:tab/>
        <w:t>2025.09 — 2025.12</w:t>
      </w:r>
    </w:p>
    <w:p>
      <w:pPr>
        <w:snapToGrid w:val="0"/>
        <w:spacing w:before="0" w:after="100" w:line="276" w:lineRule="exact"/>
      </w:pPr>
      <w:r>
        <w:rPr>
          <w:rFonts w:ascii="Avenir Next Demi Bold" w:hAnsi="Avenir Next Demi Bold" w:cs="Avenir Next Demi Bold" w:eastAsia="Hiragino Sans GB" w:hint="eastAsia"/>
          <w:b w:val="0"/>
          <w:color w:val="A54F2E"/>
          <w:spacing w:val="4"/>
          <w:sz w:val="17"/>
        </w:rPr>
        <w:t>数值策划｜《多鱼大亨》  ·  广州</w:t>
      </w: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 w:val="0"/>
          <w:color w:val="3D3D3A"/>
          <w:sz w:val="19"/>
        </w:rPr>
        <w:t>将战斗向数值体系重构为 Coin Master 类经济结构，重建成长、资源和奖励参数；将胜负概率与过程表现解耦并动态校准。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经济与节奏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重构核心循环、资源产出、消耗路径和阶段体验，使长期目标与行为节奏一致。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概率与体验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将胜负概率与过程表现解耦，使用动态校准控制结果、过程强度和事件组合。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验证与生产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建立“体验目标 → 参数 → 建模 → 配置 / 代码 → 上线评估”流程，并规划 AI 视频序列帧流水线。</w:t>
      </w:r>
    </w:p>
    <w:p>
      <w:pPr>
        <w:snapToGrid w:val="0"/>
        <w:pBdr>
          <w:bottom w:val="single" w:sz="6" w:space="0" w:color="D8D4CA"/>
        </w:pBdr>
        <w:spacing w:before="160" w:after="140" w:line="20" w:lineRule="exact"/>
        <w:rPr>
          <w:sz w:val="8"/>
          <w:szCs w:val="8"/>
        </w:rPr>
      </w:pP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/>
          <w:color w:val="141413"/>
          <w:sz w:val="19"/>
        </w:rPr>
        <w:t xml:space="preserve">早期系统经历  </w:t>
      </w:r>
      <w:r>
        <w:rPr>
          <w:rFonts w:ascii="Georgia" w:hAnsi="Georgia" w:cs="Georgia" w:eastAsia="Songti SC" w:hint="eastAsia"/>
          <w:b w:val="0"/>
          <w:color w:val="3D3D3A"/>
          <w:sz w:val="19"/>
        </w:rPr>
        <w:t>广州浩动《百鬼小村落》（2021.03 — 2022.12），负责建筑资源循环、角色成长、埋点和剧情编辑器；广州星辉 RASTAR《三国群英传：霸王之业 2》（2020.04 — 2020.08），参与战力、天气与策略系统设计。</w:t>
      </w:r>
    </w:p>
    <w:p>
      <w:pPr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  <w:rPr>
          <w:sz w:val="16"/>
          <w:szCs w:val="16"/>
        </w:rPr>
      </w:pPr>
      <w:r>
        <w:rPr>
          <w:rFonts w:ascii="Avenir Next" w:hAnsi="Avenir Next" w:cs="Avenir Next" w:eastAsia="Hiragino Sans GB" w:hint="eastAsia"/>
          <w:b/>
          <w:color w:val="6E6C64"/>
          <w:spacing w:val="16"/>
          <w:sz w:val="16"/>
        </w:rPr>
        <w:t>教育与方法</w:t>
      </w:r>
      <w:r>
        <w:rPr>
          <w:rFonts w:ascii="Avenir Next Medium" w:hAnsi="Avenir Next Medium" w:cs="Avenir Next Medium" w:eastAsia="Hiragino Sans GB" w:hint="eastAsia"/>
          <w:b w:val="0"/>
          <w:color w:val="A54F2E"/>
          <w:spacing w:val="20"/>
          <w:sz w:val="15"/>
        </w:rPr>
        <w:tab/>
        <w:t>EDUCATION &amp; TOOLKIT</w:t>
      </w: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/>
          <w:color w:val="141413"/>
          <w:sz w:val="19"/>
        </w:rPr>
        <w:t>中国农业大学</w:t>
      </w:r>
      <w:r>
        <w:rPr>
          <w:rFonts w:ascii="Georgia" w:hAnsi="Georgia" w:cs="Georgia" w:eastAsia="Songti SC" w:hint="eastAsia"/>
          <w:b w:val="0"/>
          <w:color w:val="3D3D3A"/>
          <w:sz w:val="19"/>
        </w:rPr>
        <w:t xml:space="preserve">  ·  硕士 · 微分方程（2017.09 — 2020.01）｜动态系统、状态演化与数学建模；获校奖学金。</w:t>
      </w: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/>
          <w:color w:val="141413"/>
          <w:sz w:val="19"/>
        </w:rPr>
        <w:t>华南师范大学</w:t>
      </w:r>
      <w:r>
        <w:rPr>
          <w:rFonts w:ascii="Georgia" w:hAnsi="Georgia" w:cs="Georgia" w:eastAsia="Songti SC" w:hint="eastAsia"/>
          <w:b w:val="0"/>
          <w:color w:val="3D3D3A"/>
          <w:sz w:val="19"/>
        </w:rPr>
        <w:t xml:space="preserve">  ·  学士 · 统计学（2011.09 — 2015.07）｜统计学、数据分析与传统机器学习基础。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Agent 与研究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Agent 运行时、记忆机制、工具调用、子代理协作、世界模型与实验设计。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建模与产品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Python、SQL、Excel、Mathematica、概率仿真、参数搜索、A/B 测试；Axure、Figma、Godot、Codex CLI、Claude Code、Grok CLI。</w:t>
      </w:r>
    </w:p>
    <w:p>
      <w:pPr>
        <w:pBdr>
          <w:bottom w:val="single" w:sz="6" w:space="5" w:color="D8D4CA"/>
        </w:pBdr>
        <w:tabs>
          <w:tab w:pos="9808" w:val="right"/>
        </w:tabs>
        <w:snapToGrid w:val="0"/>
        <w:spacing w:before="320" w:after="120" w:line="276" w:lineRule="exact"/>
        <w:rPr>
          <w:sz w:val="16"/>
          <w:szCs w:val="16"/>
        </w:rPr>
      </w:pPr>
      <w:r>
        <w:rPr>
          <w:rFonts w:ascii="Avenir Next" w:hAnsi="Avenir Next" w:cs="Avenir Next" w:eastAsia="Hiragino Sans GB" w:hint="eastAsia"/>
          <w:b/>
          <w:color w:val="6E6C64"/>
          <w:spacing w:val="16"/>
          <w:sz w:val="16"/>
        </w:rPr>
        <w:t>从游戏系统到 AI 体验</w:t>
      </w:r>
      <w:r>
        <w:rPr>
          <w:rFonts w:ascii="Avenir Next Medium" w:hAnsi="Avenir Next Medium" w:cs="Avenir Next Medium" w:eastAsia="Hiragino Sans GB" w:hint="eastAsia"/>
          <w:b w:val="0"/>
          <w:color w:val="A54F2E"/>
          <w:spacing w:val="20"/>
          <w:sz w:val="15"/>
        </w:rPr>
        <w:tab/>
        <w:t>FROM GAMES TO AI</w:t>
      </w: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 w:val="0"/>
          <w:color w:val="3D3D3A"/>
          <w:sz w:val="19"/>
        </w:rPr>
        <w:t>把游戏策划中的目标、资源、角色、经济与反馈方法，迁移为 AI 产品中可被体验、传播和校正的运行结构。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可玩性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为智能体与用户关系设计目标、资源约束、行动后果与长期反馈。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可传播性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用人物、事件、照片、影像和公告等媒介，让复杂世界的变化可被感知和讲述。</w:t>
      </w:r>
    </w:p>
    <w:p>
      <w:pPr>
        <w:tabs>
          <w:tab w:pos="1160" w:val="right"/>
          <w:tab w:pos="1380" w:val="left"/>
        </w:tabs>
        <w:snapToGrid w:val="0"/>
        <w:spacing w:before="0" w:after="88" w:line="304" w:lineRule="exact"/>
        <w:ind w:left="1380" w:hanging="1380"/>
      </w:pP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Avenir Next" w:hAnsi="Avenir Next" w:cs="Avenir Next" w:eastAsia="Hiragino Sans GB" w:hint="eastAsia"/>
          <w:b w:val="0"/>
          <w:color w:val="6E6C64"/>
          <w:spacing w:val="14"/>
          <w:sz w:val="16"/>
        </w:rPr>
        <w:t>可校正性</w:t>
      </w:r>
      <w:r>
        <w:rPr>
          <w:rFonts w:ascii="Avenir Next" w:hAnsi="Avenir Next" w:cs="Avenir Next" w:eastAsia="Hiragino Sans GB" w:hint="eastAsia"/>
          <w:b w:val="0"/>
          <w:color w:val="3D3D3A"/>
          <w:sz w:val="18"/>
        </w:rPr>
        <w:tab/>
      </w:r>
      <w:r>
        <w:rPr>
          <w:rFonts w:ascii="Georgia" w:hAnsi="Georgia" w:cs="Georgia" w:eastAsia="Songti SC" w:hint="eastAsia"/>
          <w:b w:val="0"/>
          <w:color w:val="3D3D3A"/>
          <w:sz w:val="18"/>
        </w:rPr>
        <w:t>把开放问题拆成假设、指标、参数、原型与测试，用数据和观察共同修正系统。</w:t>
      </w:r>
    </w:p>
    <w:p>
      <w:pPr>
        <w:snapToGrid w:val="0"/>
        <w:pBdr>
          <w:bottom w:val="single" w:sz="6" w:space="0" w:color="D8D4CA"/>
        </w:pBdr>
        <w:spacing w:before="160" w:after="140" w:line="20" w:lineRule="exact"/>
        <w:rPr>
          <w:sz w:val="8"/>
          <w:szCs w:val="8"/>
        </w:rPr>
      </w:pPr>
    </w:p>
    <w:p>
      <w:pPr>
        <w:snapToGrid w:val="0"/>
        <w:spacing w:before="0" w:after="130" w:line="328" w:lineRule="exact"/>
      </w:pPr>
      <w:r>
        <w:rPr>
          <w:rFonts w:ascii="Georgia" w:hAnsi="Georgia" w:cs="Georgia" w:eastAsia="Songti SC" w:hint="eastAsia"/>
          <w:b/>
          <w:color w:val="141413"/>
          <w:sz w:val="19"/>
        </w:rPr>
        <w:t xml:space="preserve">跨媒介视角  </w:t>
      </w:r>
      <w:r>
        <w:rPr>
          <w:rFonts w:ascii="Georgia" w:hAnsi="Georgia" w:cs="Georgia" w:eastAsia="Songti SC" w:hint="eastAsia"/>
          <w:b w:val="0"/>
          <w:color w:val="3D3D3A"/>
          <w:sz w:val="19"/>
        </w:rPr>
        <w:t>曾参演乌镇戏剧节与柏林戏剧节剧目；长期关注戏剧、电影、历史与叙事系统。</w:t>
      </w:r>
    </w:p>
    <w:sectPr w:rsidR="00FC693F" w:rsidRPr="0006063C" w:rsidSect="00034616">
      <w:headerReference w:type="first" r:id="rId9"/>
      <w:headerReference w:type="default" r:id="rId10"/>
      <w:pgSz w:w="11906" w:h="16838"/>
      <w:pgMar w:top="720" w:right="1049" w:bottom="700" w:left="1049" w:header="340" w:footer="34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rPr>
        <w:rFonts w:ascii="Avenir Next" w:hAnsi="Avenir Next" w:cs="Avenir Next" w:eastAsia="Hiragino Sans GB" w:hint="eastAsia"/>
        <w:sz w:val="2"/>
      </w:rPr>
      <w:drawing xmlns:a="http://schemas.openxmlformats.org/drawingml/2006/main">
        <wp:anchor distT="0" distB="0" distL="0" distR="0" simplePos="0" relativeHeight="1" behindDoc="1" locked="0" layoutInCell="1" allowOverlap="1">
          <wp:simplePos x="0" y="0"/>
          <wp:positionH relativeFrom="page">
            <wp:posOffset>-12700</wp:posOffset>
          </wp:positionH>
          <wp:positionV relativeFrom="page">
            <wp:posOffset>-12700</wp:posOffset>
          </wp:positionV>
          <wp:extent cx="7585710" cy="10717530"/>
          <wp:effectExtent l="0" t="0" r="0" b="0"/>
          <wp:wrapNone/>
          <wp:docPr id="771" name="PagePaper77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85710" cy="10717530"/>
                  </a:xfrm>
                  <a:prstGeom prst="rect">
                    <a:avLst/>
                  </a:prstGeom>
                  <a:solidFill>
                    <a:srgbClr val="FAF9F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D8D4CA"/>
      </w:pBdr>
      <w:tabs>
        <w:tab w:pos="9808" w:val="right"/>
      </w:tabs>
      <w:spacing w:before="0" w:after="0" w:line="20" w:lineRule="exact"/>
      <w:rPr>
        <w:sz w:val="14"/>
        <w:szCs w:val="14"/>
      </w:rPr>
    </w:pPr>
    <w:r>
      <w:rPr>
        <w:rFonts w:ascii="Avenir Next" w:hAnsi="Avenir Next" w:cs="Avenir Next" w:eastAsia="Hiragino Sans GB" w:hint="eastAsia"/>
        <w:sz w:val="2"/>
      </w:rPr>
      <w:drawing xmlns:a="http://schemas.openxmlformats.org/drawingml/2006/main">
        <wp:anchor distT="0" distB="0" distL="0" distR="0" simplePos="0" relativeHeight="1" behindDoc="1" locked="0" layoutInCell="1" allowOverlap="1">
          <wp:simplePos x="0" y="0"/>
          <wp:positionH relativeFrom="page">
            <wp:posOffset>-12700</wp:posOffset>
          </wp:positionH>
          <wp:positionV relativeFrom="page">
            <wp:posOffset>-12700</wp:posOffset>
          </wp:positionV>
          <wp:extent cx="7585710" cy="10717530"/>
          <wp:effectExtent l="0" t="0" r="0" b="0"/>
          <wp:wrapNone/>
          <wp:docPr id="772" name="PagePaper77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85710" cy="10717530"/>
                  </a:xfrm>
                  <a:prstGeom prst="rect">
                    <a:avLst/>
                  </a:prstGeom>
                  <a:solidFill>
                    <a:srgbClr val="FAF9F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Avenir Next" w:hAnsi="Avenir Next" w:cs="Avenir Next" w:eastAsia="Hiragino Sans GB" w:hint="eastAsia"/>
        <w:b w:val="0"/>
        <w:color w:val="6E6C64"/>
        <w:spacing w:val="10"/>
        <w:sz w:val="14"/>
      </w:rPr>
      <w:t>简永杰  ·  机器心智与实验世界</w:t>
    </w:r>
    <w:r>
      <w:rPr>
        <w:rFonts w:ascii="Avenir Next" w:hAnsi="Avenir Next" w:cs="Avenir Next" w:eastAsia="Hiragino Sans GB" w:hint="eastAsia"/>
        <w:b w:val="0"/>
        <w:color w:val="6E6C64"/>
        <w:sz w:val="14"/>
      </w:rPr>
      <w:tab/>
      <w:t>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venir Next" w:hAnsi="Avenir Next" w:cs="Avenir Next" w:eastAsia="Hiragino Sans GB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eastAsia="Hiragino Sans GB" w:hint="eastAsia" w:cs="Avenir Next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