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ADF50" w14:textId="77777777" w:rsidR="009B5172" w:rsidRPr="001D00E7" w:rsidRDefault="009B5172">
      <w:pPr>
        <w:rPr>
          <w:b/>
          <w:bCs/>
        </w:rPr>
      </w:pPr>
      <w:r w:rsidRPr="001D00E7">
        <w:rPr>
          <w:b/>
          <w:bCs/>
        </w:rPr>
        <w:t xml:space="preserve">Canadian </w:t>
      </w:r>
      <w:r w:rsidR="00CB2303" w:rsidRPr="001D00E7">
        <w:rPr>
          <w:b/>
          <w:bCs/>
        </w:rPr>
        <w:t xml:space="preserve">language </w:t>
      </w:r>
      <w:r w:rsidRPr="001D00E7">
        <w:rPr>
          <w:b/>
          <w:bCs/>
        </w:rPr>
        <w:t xml:space="preserve">attitudes from “coast to coast to coast”: </w:t>
      </w:r>
      <w:r w:rsidR="00A3775E" w:rsidRPr="001D00E7">
        <w:rPr>
          <w:b/>
          <w:bCs/>
        </w:rPr>
        <w:t xml:space="preserve">on </w:t>
      </w:r>
      <w:r w:rsidRPr="001D00E7">
        <w:rPr>
          <w:b/>
          <w:bCs/>
        </w:rPr>
        <w:t>the pluricentricity of English</w:t>
      </w:r>
      <w:r w:rsidR="00B35EEA" w:rsidRPr="001D00E7">
        <w:rPr>
          <w:b/>
          <w:bCs/>
        </w:rPr>
        <w:t xml:space="preserve"> </w:t>
      </w:r>
      <w:r w:rsidR="00CB2303" w:rsidRPr="001D00E7">
        <w:rPr>
          <w:b/>
          <w:bCs/>
        </w:rPr>
        <w:t>in North America</w:t>
      </w:r>
    </w:p>
    <w:p w14:paraId="34F5CAEB" w14:textId="77777777" w:rsidR="00316617" w:rsidRDefault="00316617"/>
    <w:p w14:paraId="54765E74" w14:textId="58F4C21E" w:rsidR="009B5172" w:rsidRPr="001D00E7" w:rsidRDefault="009B5172">
      <w:pPr>
        <w:rPr>
          <w:lang w:val="en-US"/>
        </w:rPr>
      </w:pPr>
      <w:r w:rsidRPr="001D00E7">
        <w:rPr>
          <w:lang w:val="en-US"/>
        </w:rPr>
        <w:t>Stefan Dollinger</w:t>
      </w:r>
      <w:r w:rsidR="00316617" w:rsidRPr="001D00E7">
        <w:rPr>
          <w:lang w:val="en-US"/>
        </w:rPr>
        <w:t xml:space="preserve"> &amp;</w:t>
      </w:r>
      <w:r w:rsidR="004C034C" w:rsidRPr="001D00E7">
        <w:rPr>
          <w:lang w:val="en-US"/>
        </w:rPr>
        <w:t xml:space="preserve"> Lars Hinrich</w:t>
      </w:r>
      <w:r w:rsidR="00A471E8">
        <w:rPr>
          <w:lang w:val="en-US"/>
        </w:rPr>
        <w:t>s</w:t>
      </w:r>
    </w:p>
    <w:p w14:paraId="5C12741C" w14:textId="51D619B5" w:rsidR="009B5172" w:rsidRPr="001D00E7" w:rsidRDefault="009B5172">
      <w:pPr>
        <w:rPr>
          <w:lang w:val="en-US"/>
        </w:rPr>
      </w:pPr>
    </w:p>
    <w:p w14:paraId="4AFD4C8F" w14:textId="77777777" w:rsidR="00181AFC" w:rsidRPr="00181AFC" w:rsidRDefault="00181AFC" w:rsidP="00181AFC">
      <w:pPr>
        <w:pStyle w:val="Heading1"/>
      </w:pPr>
      <w:r w:rsidRPr="00181AFC">
        <w:t xml:space="preserve">1 </w:t>
      </w:r>
      <w:r w:rsidRPr="00181AFC">
        <w:tab/>
        <w:t>Introduction</w:t>
      </w:r>
    </w:p>
    <w:p w14:paraId="726EE37C" w14:textId="77777777" w:rsidR="00181AFC" w:rsidRDefault="00181AFC"/>
    <w:p w14:paraId="231A0E93" w14:textId="77777777" w:rsidR="00A3775E" w:rsidRDefault="00181AFC" w:rsidP="001E7D74">
      <w:r>
        <w:t xml:space="preserve">Sociolinguists are not immune to wider social developments. One can argue, for instance, that </w:t>
      </w:r>
      <w:r w:rsidR="00A3775E">
        <w:t>the era of the</w:t>
      </w:r>
      <w:r w:rsidR="00567DA0">
        <w:t xml:space="preserve"> </w:t>
      </w:r>
      <w:r>
        <w:t>f</w:t>
      </w:r>
      <w:r w:rsidR="00567DA0">
        <w:t xml:space="preserve">ree </w:t>
      </w:r>
      <w:r>
        <w:t>t</w:t>
      </w:r>
      <w:r w:rsidR="00567DA0">
        <w:t xml:space="preserve">rade negotiations of the 1980s and </w:t>
      </w:r>
      <w:r w:rsidR="00AF7834">
        <w:t xml:space="preserve">early </w:t>
      </w:r>
      <w:r w:rsidR="00567DA0">
        <w:t>1990s</w:t>
      </w:r>
      <w:r w:rsidR="009545C5">
        <w:rPr>
          <w:rStyle w:val="FootnoteReference"/>
        </w:rPr>
        <w:footnoteReference w:id="1"/>
      </w:r>
      <w:r w:rsidR="004C034C">
        <w:t xml:space="preserve"> are reflected in sociolinguistic theories at the time</w:t>
      </w:r>
      <w:r w:rsidR="001E7D74">
        <w:t xml:space="preserve">. </w:t>
      </w:r>
      <w:r w:rsidR="009545C5">
        <w:t xml:space="preserve">While the first generation of Canadian linguists tended to emphasize </w:t>
      </w:r>
      <w:commentRangeStart w:id="0"/>
      <w:r w:rsidR="009545C5">
        <w:t xml:space="preserve">differences </w:t>
      </w:r>
      <w:commentRangeEnd w:id="0"/>
      <w:r w:rsidR="003137DA">
        <w:rPr>
          <w:rStyle w:val="CommentReference"/>
        </w:rPr>
        <w:commentReference w:id="0"/>
      </w:r>
      <w:r w:rsidR="009545C5">
        <w:t xml:space="preserve">(e.g. Avis et al. 1967, Scargill 1974), the linguistics of </w:t>
      </w:r>
      <w:r w:rsidR="00567DA0">
        <w:t xml:space="preserve">Canadian English </w:t>
      </w:r>
      <w:r w:rsidR="009545C5">
        <w:t>has</w:t>
      </w:r>
      <w:r w:rsidR="00AF7834">
        <w:t xml:space="preserve"> seen a </w:t>
      </w:r>
      <w:r w:rsidR="00C60F8B">
        <w:t>subtle but steady</w:t>
      </w:r>
      <w:r w:rsidR="00AF7834">
        <w:t xml:space="preserve"> influence </w:t>
      </w:r>
      <w:commentRangeStart w:id="1"/>
      <w:proofErr w:type="gramStart"/>
      <w:r w:rsidR="00AF7834">
        <w:t>to</w:t>
      </w:r>
      <w:proofErr w:type="gramEnd"/>
      <w:r w:rsidR="00AF7834">
        <w:t xml:space="preserve"> that effect </w:t>
      </w:r>
      <w:commentRangeEnd w:id="1"/>
      <w:r w:rsidR="001E13B8">
        <w:rPr>
          <w:rStyle w:val="CommentReference"/>
        </w:rPr>
        <w:commentReference w:id="1"/>
      </w:r>
      <w:r w:rsidR="00AF7834">
        <w:t xml:space="preserve">as of the early 1980s. </w:t>
      </w:r>
      <w:commentRangeStart w:id="2"/>
      <w:r w:rsidR="004C034C">
        <w:t>The</w:t>
      </w:r>
      <w:r w:rsidR="00567DA0">
        <w:t xml:space="preserve"> early period </w:t>
      </w:r>
      <w:commentRangeEnd w:id="2"/>
      <w:r w:rsidR="004A768D">
        <w:rPr>
          <w:rStyle w:val="CommentReference"/>
        </w:rPr>
        <w:commentReference w:id="2"/>
      </w:r>
      <w:r w:rsidR="009545C5">
        <w:t>was marked by</w:t>
      </w:r>
      <w:r w:rsidR="00567DA0">
        <w:t xml:space="preserve"> bold statements as to the weakness of Canada-US border as a </w:t>
      </w:r>
      <w:r w:rsidR="00C60F8B">
        <w:t>linguistic</w:t>
      </w:r>
      <w:r w:rsidR="00567DA0">
        <w:t xml:space="preserve"> divide</w:t>
      </w:r>
      <w:r w:rsidR="00AF7834">
        <w:t xml:space="preserve"> (e.g. </w:t>
      </w:r>
      <w:r w:rsidR="004C034C">
        <w:t xml:space="preserve">Warkentyne &amp; Brett 1981: 307; </w:t>
      </w:r>
      <w:r w:rsidR="00AF7834">
        <w:t>Chambers 1980</w:t>
      </w:r>
      <w:r w:rsidR="00C60F8B">
        <w:t>: xxx, Warkentyne 1983: xxx</w:t>
      </w:r>
      <w:r w:rsidR="00AF7834">
        <w:t>)</w:t>
      </w:r>
      <w:r w:rsidR="00567DA0">
        <w:t xml:space="preserve">, or even to its irrelevance (e.g. Woods 1993: xxx). The latter point </w:t>
      </w:r>
      <w:r w:rsidR="00C60F8B">
        <w:t>has been</w:t>
      </w:r>
      <w:r w:rsidR="00AF7834">
        <w:t xml:space="preserve"> occasionally</w:t>
      </w:r>
      <w:r w:rsidR="00567DA0">
        <w:t xml:space="preserve"> echoed in more recent writings (e.g. Sadlier-Brown 2012: xxx)</w:t>
      </w:r>
      <w:r w:rsidR="00AF7834">
        <w:t>. W</w:t>
      </w:r>
      <w:r w:rsidR="00567DA0">
        <w:t>hat unites these claims</w:t>
      </w:r>
      <w:r w:rsidR="00AF7834">
        <w:t>, however,</w:t>
      </w:r>
      <w:r w:rsidR="00567DA0">
        <w:t xml:space="preserve"> is the lack of </w:t>
      </w:r>
      <w:r w:rsidR="00C60F8B">
        <w:t xml:space="preserve">a comparative US sample in addition to the Canadian </w:t>
      </w:r>
      <w:r w:rsidR="00B35EEA">
        <w:t>sample</w:t>
      </w:r>
      <w:r w:rsidR="00C60F8B">
        <w:t xml:space="preserve">, which means that US usage is </w:t>
      </w:r>
      <w:r w:rsidR="00B35EEA">
        <w:t>inferred from</w:t>
      </w:r>
      <w:r w:rsidR="00C60F8B">
        <w:t xml:space="preserve"> indirect evidence </w:t>
      </w:r>
      <w:r w:rsidR="00B35EEA">
        <w:t xml:space="preserve">only </w:t>
      </w:r>
      <w:r w:rsidR="00C60F8B">
        <w:t xml:space="preserve">(e.g. dictionary and usage guides, general impressions) but </w:t>
      </w:r>
      <w:commentRangeStart w:id="3"/>
      <w:r w:rsidR="00C60F8B">
        <w:t xml:space="preserve">not data collected in the same way </w:t>
      </w:r>
      <w:commentRangeEnd w:id="3"/>
      <w:r w:rsidR="005F32B3">
        <w:rPr>
          <w:rStyle w:val="CommentReference"/>
        </w:rPr>
        <w:commentReference w:id="3"/>
      </w:r>
      <w:r w:rsidR="00C60F8B">
        <w:t>as on the Canadian side.</w:t>
      </w:r>
      <w:r w:rsidR="00567DA0">
        <w:t xml:space="preserve"> If </w:t>
      </w:r>
      <w:r w:rsidR="00C60F8B">
        <w:t xml:space="preserve">a more </w:t>
      </w:r>
      <w:r w:rsidR="00AF7834">
        <w:t xml:space="preserve">appropriate </w:t>
      </w:r>
      <w:r w:rsidR="00567DA0">
        <w:t xml:space="preserve">design is brought forth </w:t>
      </w:r>
      <w:r w:rsidR="00AF7834">
        <w:t>to study cross-border linguistic influence</w:t>
      </w:r>
      <w:r w:rsidR="00C60F8B">
        <w:t>s</w:t>
      </w:r>
      <w:r w:rsidR="00AF7834">
        <w:t>,</w:t>
      </w:r>
      <w:r>
        <w:t xml:space="preserve"> however,</w:t>
      </w:r>
      <w:r w:rsidR="00AF7834">
        <w:t xml:space="preserve"> it is almost always shown that </w:t>
      </w:r>
      <w:r w:rsidR="00567DA0">
        <w:t xml:space="preserve">the veracity of the Canada-US border and its linguistic effects – subtle yet consistent – </w:t>
      </w:r>
      <w:r w:rsidR="00C60F8B">
        <w:t>can be clearly</w:t>
      </w:r>
      <w:r w:rsidR="00567DA0">
        <w:t xml:space="preserve"> shown</w:t>
      </w:r>
      <w:r w:rsidR="00AF7834">
        <w:t xml:space="preserve"> </w:t>
      </w:r>
      <w:r>
        <w:t>(e.g. Chambers 1994, 2000; Boberg 2000, Boberg 2005, Boberg 2008; Dollinger 2012)</w:t>
      </w:r>
      <w:r w:rsidR="00567DA0">
        <w:t>.</w:t>
      </w:r>
    </w:p>
    <w:p w14:paraId="5E3F2F22" w14:textId="77777777" w:rsidR="00A3775E" w:rsidRDefault="00A3775E" w:rsidP="00A3775E"/>
    <w:p w14:paraId="39002363" w14:textId="77777777" w:rsidR="00A3775E" w:rsidRDefault="00A3775E" w:rsidP="00A3775E">
      <w:pPr>
        <w:ind w:firstLine="720"/>
      </w:pPr>
      <w:r>
        <w:t>In the context of pluricentric languages, it is noteworthy that “contiguous varieties”, e.g. varieties that border on other varieties such as Canadian and American English, Austrian German and German German and Netherlandic and Belgian Dutch, have traditionally been faced with disciplinary scepticism (e.g. xxx). In this context, “non-contiguous varieties”, i.e. those separated by a sea border such as Australian and New Zealand English, or Irish English and English English, have had an easier time being recognized. Such questions of dominance (heteronomy) or non-dominance (autonomy) are part and parcel of the sociolinguistic theory of linguistic pluricentricity. The present paper sees itself as a contribution to this large and growing oeuvre (e.g. Clyne 1984, 1995, Ammon et al. 2004, Muhr 2012, Dollinger 2019).</w:t>
      </w:r>
    </w:p>
    <w:p w14:paraId="555A665A" w14:textId="77777777" w:rsidR="00C60F8B" w:rsidRDefault="00567DA0" w:rsidP="001E7D74">
      <w:r>
        <w:t xml:space="preserve"> </w:t>
      </w:r>
    </w:p>
    <w:p w14:paraId="08157F4A" w14:textId="77777777" w:rsidR="009E5C21" w:rsidRDefault="001102D6" w:rsidP="00AF7834">
      <w:pPr>
        <w:ind w:firstLine="720"/>
      </w:pPr>
      <w:r>
        <w:t>Based on a language attitudinal questionnaire, the</w:t>
      </w:r>
      <w:r w:rsidR="009E5C21">
        <w:t xml:space="preserve"> present paper </w:t>
      </w:r>
      <w:r w:rsidR="00C06F0C">
        <w:t>explores notions of the “standard” for Canadian English and notions of linguistic autonomy</w:t>
      </w:r>
      <w:r w:rsidR="00A3775E">
        <w:t xml:space="preserve"> as central tenets of pluricentric theory</w:t>
      </w:r>
      <w:r w:rsidR="00C06F0C">
        <w:t>. It is</w:t>
      </w:r>
      <w:r w:rsidR="00BB49EE">
        <w:t xml:space="preserve"> structured in the following way: it </w:t>
      </w:r>
      <w:r w:rsidR="009E5C21">
        <w:t xml:space="preserve">will first introduce the constraints of the present data set, collected in the fall (October and November) 2023. It will then </w:t>
      </w:r>
      <w:r w:rsidR="00BB49EE">
        <w:t>present</w:t>
      </w:r>
      <w:r w:rsidR="009E5C21">
        <w:t xml:space="preserve"> the main results, correlations and modelling effects for the 300</w:t>
      </w:r>
      <w:r w:rsidR="00BB49EE">
        <w:t>0-</w:t>
      </w:r>
      <w:r w:rsidR="009E5C21">
        <w:t xml:space="preserve">respondent-survey. In a next step, the findings will be put into the context of existing literature on language attitudes and perceptions and Canadian English, before, the findings will be interpreted in the larger </w:t>
      </w:r>
      <w:r w:rsidR="009E5C21">
        <w:lastRenderedPageBreak/>
        <w:t>framework of the sociolingu</w:t>
      </w:r>
      <w:r w:rsidR="002B4726">
        <w:t>i</w:t>
      </w:r>
      <w:r w:rsidR="009E5C21">
        <w:t xml:space="preserve">stic theory of pluricentricity, which is occasionally critiqued </w:t>
      </w:r>
      <w:r w:rsidR="00397322">
        <w:t>as nation</w:t>
      </w:r>
      <w:r w:rsidR="00CF2873">
        <w:t>a</w:t>
      </w:r>
      <w:r w:rsidR="00397322">
        <w:t>listic</w:t>
      </w:r>
      <w:r w:rsidR="009E5C21">
        <w:t xml:space="preserve"> (e.g. Schneider 2022) or mis</w:t>
      </w:r>
      <w:r w:rsidR="00CF2873">
        <w:t>understood</w:t>
      </w:r>
      <w:r w:rsidR="00B137AF">
        <w:t xml:space="preserve"> </w:t>
      </w:r>
      <w:r w:rsidR="009E5C21">
        <w:t xml:space="preserve">(e.g. </w:t>
      </w:r>
      <w:r w:rsidR="002B4726">
        <w:t>Elspaß 2025</w:t>
      </w:r>
      <w:r w:rsidR="009E5C21">
        <w:t>, Herrgen 2015).</w:t>
      </w:r>
      <w:r w:rsidR="00BB49EE">
        <w:t xml:space="preserve"> It will be highlighted that pluricentric</w:t>
      </w:r>
      <w:r w:rsidR="009063EA">
        <w:t>i</w:t>
      </w:r>
      <w:r w:rsidR="00BB49EE">
        <w:t xml:space="preserve">ty has been the dominant approach in </w:t>
      </w:r>
      <w:r w:rsidR="001E7D74">
        <w:t xml:space="preserve">the </w:t>
      </w:r>
      <w:r w:rsidR="00BB49EE">
        <w:t xml:space="preserve">sociolinguistics </w:t>
      </w:r>
      <w:r w:rsidR="001E7D74">
        <w:t xml:space="preserve">of World Englishes </w:t>
      </w:r>
      <w:r w:rsidR="00BB49EE">
        <w:t>and that other concepts, purported to stand in competition or to “complement” pluricentricity</w:t>
      </w:r>
      <w:r w:rsidR="00CF2873">
        <w:t>,</w:t>
      </w:r>
      <w:r w:rsidR="00397322">
        <w:t xml:space="preserve"> appear in </w:t>
      </w:r>
      <w:r w:rsidR="00BB49EE">
        <w:t xml:space="preserve">philological </w:t>
      </w:r>
      <w:r w:rsidR="00397322">
        <w:t>frames</w:t>
      </w:r>
      <w:r w:rsidR="00BB49EE">
        <w:t xml:space="preserve"> that </w:t>
      </w:r>
      <w:r w:rsidR="000F6BB4">
        <w:t>face</w:t>
      </w:r>
      <w:r w:rsidR="00BB49EE">
        <w:t xml:space="preserve"> decolonial and </w:t>
      </w:r>
      <w:proofErr w:type="spellStart"/>
      <w:r w:rsidR="00BB49EE">
        <w:t>dehegemonic</w:t>
      </w:r>
      <w:proofErr w:type="spellEnd"/>
      <w:r w:rsidR="00BB49EE">
        <w:t xml:space="preserve"> </w:t>
      </w:r>
      <w:r w:rsidR="000F6BB4">
        <w:t>challenges</w:t>
      </w:r>
      <w:r w:rsidR="00BB49EE">
        <w:t>. Where conducive, data from other languages, e.g. Austrian German or Belgian Dutch, will be brought in to recog</w:t>
      </w:r>
      <w:r w:rsidR="009B5B33">
        <w:t>n</w:t>
      </w:r>
      <w:r w:rsidR="00BB49EE">
        <w:t xml:space="preserve">ize the special role of what since Clyne/Muhr are often referred to as “non-dominant” </w:t>
      </w:r>
      <w:commentRangeStart w:id="4"/>
      <w:r w:rsidR="00BB49EE">
        <w:t>varieties</w:t>
      </w:r>
      <w:commentRangeEnd w:id="4"/>
      <w:r w:rsidR="00992BCA">
        <w:rPr>
          <w:rStyle w:val="CommentReference"/>
        </w:rPr>
        <w:commentReference w:id="4"/>
      </w:r>
      <w:r w:rsidR="00BB49EE">
        <w:t xml:space="preserve">. </w:t>
      </w:r>
    </w:p>
    <w:p w14:paraId="3BC0DF46" w14:textId="77777777" w:rsidR="00003F5B" w:rsidRDefault="00003F5B" w:rsidP="00003F5B"/>
    <w:p w14:paraId="71424C67" w14:textId="77777777" w:rsidR="00003F5B" w:rsidRDefault="00003F5B" w:rsidP="00003F5B"/>
    <w:p w14:paraId="177A12AB" w14:textId="77777777" w:rsidR="00003F5B" w:rsidRDefault="009545C5" w:rsidP="00003F5B">
      <w:pPr>
        <w:pStyle w:val="Heading1"/>
      </w:pPr>
      <w:r>
        <w:t>2</w:t>
      </w:r>
      <w:r w:rsidR="00003F5B">
        <w:tab/>
      </w:r>
      <w:r w:rsidR="001E7D74">
        <w:t>Pluricentric theory</w:t>
      </w:r>
    </w:p>
    <w:p w14:paraId="412AD85A" w14:textId="77777777" w:rsidR="00003F5B" w:rsidRDefault="00003F5B" w:rsidP="00003F5B"/>
    <w:p w14:paraId="23BAD14F" w14:textId="77777777" w:rsidR="00003F5B" w:rsidRDefault="00CF2873" w:rsidP="00003F5B">
      <w:r>
        <w:t>In English, two varieties can be considered dominant</w:t>
      </w:r>
      <w:r w:rsidR="00947EA3">
        <w:t xml:space="preserve"> today</w:t>
      </w:r>
      <w:r>
        <w:t xml:space="preserve">: </w:t>
      </w:r>
      <w:commentRangeStart w:id="5"/>
      <w:commentRangeStart w:id="6"/>
      <w:r>
        <w:t xml:space="preserve">Standard English </w:t>
      </w:r>
      <w:proofErr w:type="spellStart"/>
      <w:r>
        <w:t>English</w:t>
      </w:r>
      <w:proofErr w:type="spellEnd"/>
      <w:r>
        <w:t xml:space="preserve"> </w:t>
      </w:r>
      <w:commentRangeEnd w:id="5"/>
      <w:r w:rsidR="00D21571">
        <w:rPr>
          <w:rStyle w:val="CommentReference"/>
        </w:rPr>
        <w:commentReference w:id="5"/>
      </w:r>
      <w:commentRangeEnd w:id="6"/>
      <w:r w:rsidR="00D21571">
        <w:rPr>
          <w:rStyle w:val="CommentReference"/>
        </w:rPr>
        <w:commentReference w:id="6"/>
      </w:r>
      <w:r>
        <w:t xml:space="preserve">and Standard American English. All other varieties, including Standard Canadian English, are </w:t>
      </w:r>
      <w:commentRangeStart w:id="7"/>
      <w:r>
        <w:t xml:space="preserve">non-dominant varieties </w:t>
      </w:r>
      <w:commentRangeEnd w:id="7"/>
      <w:r w:rsidR="008E5582">
        <w:rPr>
          <w:rStyle w:val="CommentReference"/>
        </w:rPr>
        <w:commentReference w:id="7"/>
      </w:r>
      <w:r>
        <w:t>(e.g. Clyne 1992, originally called “dominant” and “other” varieties”).</w:t>
      </w:r>
    </w:p>
    <w:p w14:paraId="50FC8AA8" w14:textId="77777777" w:rsidR="009545C5" w:rsidRDefault="009545C5" w:rsidP="009545C5">
      <w:pPr>
        <w:ind w:firstLine="720"/>
      </w:pPr>
    </w:p>
    <w:p w14:paraId="03602966" w14:textId="77777777" w:rsidR="009545C5" w:rsidRDefault="009545C5" w:rsidP="009545C5">
      <w:pPr>
        <w:pStyle w:val="Heading1"/>
      </w:pPr>
      <w:r>
        <w:t>3</w:t>
      </w:r>
      <w:r>
        <w:tab/>
        <w:t>The data</w:t>
      </w:r>
    </w:p>
    <w:p w14:paraId="1B20E3C8" w14:textId="77777777" w:rsidR="009545C5" w:rsidRDefault="009545C5" w:rsidP="009545C5"/>
    <w:p w14:paraId="57CF2C32" w14:textId="77777777" w:rsidR="00003F5B" w:rsidRDefault="00003F5B" w:rsidP="00003F5B"/>
    <w:p w14:paraId="41DF7160" w14:textId="77777777" w:rsidR="00003F5B" w:rsidRDefault="00003F5B" w:rsidP="00003F5B"/>
    <w:p w14:paraId="340D4957" w14:textId="77777777" w:rsidR="00003F5B" w:rsidRDefault="00003F5B" w:rsidP="00003F5B"/>
    <w:p w14:paraId="7CC363CC" w14:textId="77777777" w:rsidR="00003F5B" w:rsidRDefault="00003F5B" w:rsidP="00003F5B"/>
    <w:p w14:paraId="6ED8771A" w14:textId="77777777" w:rsidR="00003F5B" w:rsidRDefault="00003F5B" w:rsidP="00003F5B">
      <w:pPr>
        <w:pStyle w:val="Heading1"/>
      </w:pPr>
      <w:r>
        <w:t>4</w:t>
      </w:r>
      <w:r>
        <w:tab/>
      </w:r>
      <w:r w:rsidR="00A76135">
        <w:t>Results</w:t>
      </w:r>
      <w:r>
        <w:t xml:space="preserve">: </w:t>
      </w:r>
      <w:r w:rsidR="009545C5">
        <w:t>the attitudinal autonomy of CanE</w:t>
      </w:r>
    </w:p>
    <w:p w14:paraId="015E132A" w14:textId="77777777" w:rsidR="00003F5B" w:rsidRDefault="00003F5B" w:rsidP="00003F5B"/>
    <w:p w14:paraId="1111E955" w14:textId="77777777" w:rsidR="00003F5B" w:rsidRDefault="00003F5B" w:rsidP="00003F5B"/>
    <w:p w14:paraId="773128C2" w14:textId="77777777" w:rsidR="00003F5B" w:rsidRDefault="00003F5B" w:rsidP="00003F5B"/>
    <w:p w14:paraId="33F59FBD" w14:textId="77777777" w:rsidR="00F03BDA" w:rsidRDefault="00F03BDA" w:rsidP="00003F5B">
      <w:r w:rsidRPr="00F03BDA">
        <w:rPr>
          <w:noProof/>
        </w:rPr>
        <w:drawing>
          <wp:inline distT="0" distB="0" distL="0" distR="0" wp14:anchorId="1A280549" wp14:editId="1ABC8581">
            <wp:extent cx="5943600" cy="2181225"/>
            <wp:effectExtent l="12700" t="12700" r="12700" b="15875"/>
            <wp:docPr id="68112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27975" name=""/>
                    <pic:cNvPicPr/>
                  </pic:nvPicPr>
                  <pic:blipFill>
                    <a:blip r:embed="rId10"/>
                    <a:stretch>
                      <a:fillRect/>
                    </a:stretch>
                  </pic:blipFill>
                  <pic:spPr>
                    <a:xfrm>
                      <a:off x="0" y="0"/>
                      <a:ext cx="5943600" cy="2181225"/>
                    </a:xfrm>
                    <a:prstGeom prst="rect">
                      <a:avLst/>
                    </a:prstGeom>
                    <a:ln w="6350">
                      <a:solidFill>
                        <a:schemeClr val="tx1"/>
                      </a:solidFill>
                    </a:ln>
                  </pic:spPr>
                </pic:pic>
              </a:graphicData>
            </a:graphic>
          </wp:inline>
        </w:drawing>
      </w:r>
    </w:p>
    <w:p w14:paraId="70FDDE1D" w14:textId="77777777" w:rsidR="00F03BDA" w:rsidRDefault="00135108" w:rsidP="00003F5B">
      <w:r>
        <w:t xml:space="preserve">Fig. 1: </w:t>
      </w:r>
      <w:r w:rsidR="00F03BDA">
        <w:t xml:space="preserve">Large majorities </w:t>
      </w:r>
      <w:commentRangeStart w:id="8"/>
      <w:r w:rsidR="00F03BDA">
        <w:t xml:space="preserve">confirm </w:t>
      </w:r>
      <w:commentRangeEnd w:id="8"/>
      <w:r w:rsidR="00D82F64">
        <w:rPr>
          <w:rStyle w:val="CommentReference"/>
        </w:rPr>
        <w:commentReference w:id="8"/>
      </w:r>
      <w:r w:rsidR="00F03BDA">
        <w:t>questions on the linguistic autonomy of CanE among the Canadian residents.</w:t>
      </w:r>
    </w:p>
    <w:p w14:paraId="563EF12D" w14:textId="77777777" w:rsidR="00F03BDA" w:rsidRDefault="00F03BDA" w:rsidP="00003F5B"/>
    <w:p w14:paraId="47B721BD" w14:textId="1DA03022" w:rsidR="00F03BDA" w:rsidRDefault="00F03BDA" w:rsidP="00003F5B">
      <w:r>
        <w:t xml:space="preserve">Compared with those who spent </w:t>
      </w:r>
      <w:proofErr w:type="gramStart"/>
      <w:r>
        <w:t>the majority of</w:t>
      </w:r>
      <w:proofErr w:type="gramEnd"/>
      <w:r>
        <w:t xml:space="preserve"> their formative years (Ages 0-18) in Canada, the approval rates are low:</w:t>
      </w:r>
    </w:p>
    <w:p w14:paraId="57963A0F" w14:textId="77777777" w:rsidR="00401011" w:rsidRDefault="00401011" w:rsidP="00003F5B"/>
    <w:p w14:paraId="393E2897" w14:textId="77777777" w:rsidR="00401011" w:rsidRDefault="00401011" w:rsidP="00003F5B">
      <w:r>
        <w:t xml:space="preserve">For instance, for the question “Is there a Canadian way of speaking?” the differential between residents, which include new arrivals and transient students/workers, and </w:t>
      </w:r>
      <w:commentRangeStart w:id="9"/>
      <w:r>
        <w:t>formative years in Canada</w:t>
      </w:r>
      <w:commentRangeEnd w:id="9"/>
      <w:r w:rsidR="004813C8">
        <w:rPr>
          <w:rStyle w:val="CommentReference"/>
        </w:rPr>
        <w:commentReference w:id="9"/>
      </w:r>
      <w:r>
        <w:t xml:space="preserve"> are generally in the </w:t>
      </w:r>
      <w:proofErr w:type="gramStart"/>
      <w:r>
        <w:t>20% point</w:t>
      </w:r>
      <w:proofErr w:type="gramEnd"/>
      <w:r>
        <w:t xml:space="preserve"> range or more:</w:t>
      </w:r>
    </w:p>
    <w:p w14:paraId="20A80C36" w14:textId="77777777" w:rsidR="00003F5B" w:rsidRDefault="00003F5B" w:rsidP="00003F5B"/>
    <w:tbl>
      <w:tblPr>
        <w:tblStyle w:val="TableGrid"/>
        <w:tblW w:w="0" w:type="auto"/>
        <w:tblLook w:val="04A0" w:firstRow="1" w:lastRow="0" w:firstColumn="1" w:lastColumn="0" w:noHBand="0" w:noVBand="1"/>
      </w:tblPr>
      <w:tblGrid>
        <w:gridCol w:w="4796"/>
        <w:gridCol w:w="4554"/>
      </w:tblGrid>
      <w:tr w:rsidR="00F03BDA" w14:paraId="6F2222D3" w14:textId="77777777" w:rsidTr="00F03BDA">
        <w:tc>
          <w:tcPr>
            <w:tcW w:w="4675" w:type="dxa"/>
          </w:tcPr>
          <w:p w14:paraId="69E947E9" w14:textId="77777777" w:rsidR="00F03BDA" w:rsidRDefault="00F03BDA" w:rsidP="00003F5B">
            <w:r w:rsidRPr="00F03BDA">
              <w:rPr>
                <w:noProof/>
              </w:rPr>
              <w:drawing>
                <wp:inline distT="0" distB="0" distL="0" distR="0" wp14:anchorId="0590172A" wp14:editId="03D5473B">
                  <wp:extent cx="2906377" cy="1656262"/>
                  <wp:effectExtent l="0" t="0" r="2540" b="0"/>
                  <wp:docPr id="193935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8789" name=""/>
                          <pic:cNvPicPr/>
                        </pic:nvPicPr>
                        <pic:blipFill>
                          <a:blip r:embed="rId11"/>
                          <a:stretch>
                            <a:fillRect/>
                          </a:stretch>
                        </pic:blipFill>
                        <pic:spPr>
                          <a:xfrm>
                            <a:off x="0" y="0"/>
                            <a:ext cx="3047385" cy="1736618"/>
                          </a:xfrm>
                          <a:prstGeom prst="rect">
                            <a:avLst/>
                          </a:prstGeom>
                        </pic:spPr>
                      </pic:pic>
                    </a:graphicData>
                  </a:graphic>
                </wp:inline>
              </w:drawing>
            </w:r>
          </w:p>
        </w:tc>
        <w:tc>
          <w:tcPr>
            <w:tcW w:w="4675" w:type="dxa"/>
          </w:tcPr>
          <w:p w14:paraId="35789CBF" w14:textId="77777777" w:rsidR="00F03BDA" w:rsidRDefault="00F03BDA" w:rsidP="00003F5B">
            <w:r w:rsidRPr="00F03BDA">
              <w:rPr>
                <w:noProof/>
              </w:rPr>
              <w:drawing>
                <wp:inline distT="0" distB="0" distL="0" distR="0" wp14:anchorId="76E38A28" wp14:editId="12382575">
                  <wp:extent cx="2563586" cy="1510489"/>
                  <wp:effectExtent l="0" t="0" r="1905" b="1270"/>
                  <wp:docPr id="91436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63596" name=""/>
                          <pic:cNvPicPr/>
                        </pic:nvPicPr>
                        <pic:blipFill>
                          <a:blip r:embed="rId12"/>
                          <a:stretch>
                            <a:fillRect/>
                          </a:stretch>
                        </pic:blipFill>
                        <pic:spPr>
                          <a:xfrm>
                            <a:off x="0" y="0"/>
                            <a:ext cx="2624038" cy="1546108"/>
                          </a:xfrm>
                          <a:prstGeom prst="rect">
                            <a:avLst/>
                          </a:prstGeom>
                        </pic:spPr>
                      </pic:pic>
                    </a:graphicData>
                  </a:graphic>
                </wp:inline>
              </w:drawing>
            </w:r>
          </w:p>
        </w:tc>
      </w:tr>
      <w:tr w:rsidR="00F03BDA" w14:paraId="78541D3D" w14:textId="77777777" w:rsidTr="00F03BDA">
        <w:tc>
          <w:tcPr>
            <w:tcW w:w="4675" w:type="dxa"/>
          </w:tcPr>
          <w:p w14:paraId="0B9EF7E2" w14:textId="77777777" w:rsidR="00F03BDA" w:rsidRDefault="00135108" w:rsidP="00003F5B">
            <w:r>
              <w:t xml:space="preserve">Fig. 2: </w:t>
            </w:r>
            <w:r w:rsidR="00F03BDA">
              <w:t>By Canadian residents</w:t>
            </w:r>
          </w:p>
        </w:tc>
        <w:tc>
          <w:tcPr>
            <w:tcW w:w="4675" w:type="dxa"/>
          </w:tcPr>
          <w:p w14:paraId="6C985CE9" w14:textId="77777777" w:rsidR="00F03BDA" w:rsidRDefault="00F03BDA" w:rsidP="00F03BDA">
            <w:r>
              <w:t xml:space="preserve">By formative Region </w:t>
            </w:r>
            <w:r w:rsidR="00135108">
              <w:t xml:space="preserve">in Canada </w:t>
            </w:r>
            <w:r>
              <w:t>(Ages 8-18)</w:t>
            </w:r>
          </w:p>
          <w:p w14:paraId="2C313F3F" w14:textId="77777777" w:rsidR="00F03BDA" w:rsidRDefault="00F03BDA" w:rsidP="00003F5B"/>
        </w:tc>
      </w:tr>
    </w:tbl>
    <w:p w14:paraId="4DF2A6B1" w14:textId="77777777" w:rsidR="00F03BDA" w:rsidRDefault="00F03BDA" w:rsidP="00003F5B"/>
    <w:p w14:paraId="70F1C5F7" w14:textId="77777777" w:rsidR="00003F5B" w:rsidRDefault="00F03BDA" w:rsidP="00003F5B">
      <w:r w:rsidRPr="00F03BDA">
        <w:rPr>
          <w:noProof/>
        </w:rPr>
        <w:drawing>
          <wp:inline distT="0" distB="0" distL="0" distR="0" wp14:anchorId="1D806EFC" wp14:editId="15FE1356">
            <wp:extent cx="2682694" cy="1681843"/>
            <wp:effectExtent l="0" t="0" r="0" b="0"/>
            <wp:docPr id="84205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50463" name=""/>
                    <pic:cNvPicPr/>
                  </pic:nvPicPr>
                  <pic:blipFill>
                    <a:blip r:embed="rId13"/>
                    <a:stretch>
                      <a:fillRect/>
                    </a:stretch>
                  </pic:blipFill>
                  <pic:spPr>
                    <a:xfrm>
                      <a:off x="0" y="0"/>
                      <a:ext cx="2770719" cy="1737028"/>
                    </a:xfrm>
                    <a:prstGeom prst="rect">
                      <a:avLst/>
                    </a:prstGeom>
                  </pic:spPr>
                </pic:pic>
              </a:graphicData>
            </a:graphic>
          </wp:inline>
        </w:drawing>
      </w:r>
    </w:p>
    <w:p w14:paraId="064483A1" w14:textId="77777777" w:rsidR="00F03BDA" w:rsidRDefault="00F03BDA" w:rsidP="00003F5B">
      <w:r>
        <w:t>Territories as a linguistic frontier: different from the rest of the country</w:t>
      </w:r>
      <w:r w:rsidR="00135108">
        <w:t xml:space="preserve"> (by formative region)</w:t>
      </w:r>
    </w:p>
    <w:p w14:paraId="0D7A6460" w14:textId="77777777" w:rsidR="00003F5B" w:rsidRDefault="00003F5B" w:rsidP="00003F5B"/>
    <w:p w14:paraId="2B6962C9" w14:textId="77777777" w:rsidR="00F03BDA" w:rsidRDefault="00F03BDA" w:rsidP="00003F5B"/>
    <w:p w14:paraId="04FF7D6F" w14:textId="77777777" w:rsidR="00F03BDA" w:rsidRDefault="00F03BDA" w:rsidP="00003F5B"/>
    <w:p w14:paraId="587BB894" w14:textId="77777777" w:rsidR="00F03BDA" w:rsidRDefault="00F03BDA" w:rsidP="00003F5B"/>
    <w:p w14:paraId="1D64FAE2" w14:textId="77777777" w:rsidR="00003F5B" w:rsidRDefault="00003F5B" w:rsidP="00003F5B">
      <w:pPr>
        <w:pStyle w:val="Heading1"/>
      </w:pPr>
      <w:r>
        <w:t>5</w:t>
      </w:r>
      <w:r>
        <w:tab/>
        <w:t>Conclusion</w:t>
      </w:r>
    </w:p>
    <w:p w14:paraId="45F95FE8" w14:textId="77777777" w:rsidR="00003F5B" w:rsidRDefault="00003F5B" w:rsidP="00003F5B"/>
    <w:p w14:paraId="0AE11CC7" w14:textId="77777777" w:rsidR="00003F5B" w:rsidRDefault="00003F5B" w:rsidP="00003F5B"/>
    <w:p w14:paraId="7919BB6E" w14:textId="77777777" w:rsidR="00003F5B" w:rsidRDefault="00003F5B" w:rsidP="00003F5B"/>
    <w:p w14:paraId="6B38738E" w14:textId="77777777" w:rsidR="00003F5B" w:rsidRDefault="00003F5B" w:rsidP="00003F5B"/>
    <w:p w14:paraId="6FB5ED84" w14:textId="77777777" w:rsidR="00003F5B" w:rsidRDefault="00003F5B" w:rsidP="00003F5B">
      <w:pPr>
        <w:pStyle w:val="Heading1"/>
      </w:pPr>
      <w:r>
        <w:t xml:space="preserve">6 </w:t>
      </w:r>
      <w:r>
        <w:tab/>
        <w:t>References</w:t>
      </w:r>
    </w:p>
    <w:p w14:paraId="3165E68D" w14:textId="77777777" w:rsidR="00003F5B" w:rsidRDefault="00003F5B" w:rsidP="00003F5B"/>
    <w:p w14:paraId="2D4A83F8" w14:textId="77777777" w:rsidR="00003F5B" w:rsidRDefault="00003F5B" w:rsidP="00003F5B"/>
    <w:p w14:paraId="1EB58548" w14:textId="77777777" w:rsidR="00003F5B" w:rsidRPr="00003F5B" w:rsidRDefault="00003F5B" w:rsidP="00003F5B"/>
    <w:sectPr w:rsidR="00003F5B" w:rsidRPr="00003F5B" w:rsidSect="00993149">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inrichs, Lars" w:date="2025-04-09T11:13:00Z" w:initials="LH">
    <w:p w14:paraId="6744F487" w14:textId="77777777" w:rsidR="003137DA" w:rsidRDefault="003137DA" w:rsidP="003137DA">
      <w:r>
        <w:rPr>
          <w:rStyle w:val="CommentReference"/>
        </w:rPr>
        <w:annotationRef/>
      </w:r>
      <w:r>
        <w:rPr>
          <w:color w:val="000000"/>
          <w:sz w:val="20"/>
          <w:szCs w:val="20"/>
        </w:rPr>
        <w:t>Between what and what?</w:t>
      </w:r>
    </w:p>
  </w:comment>
  <w:comment w:id="1" w:author="Hinrichs, Lars" w:date="2025-04-09T11:13:00Z" w:initials="LH">
    <w:p w14:paraId="2A0E91A2" w14:textId="77777777" w:rsidR="001E13B8" w:rsidRDefault="001E13B8" w:rsidP="001E13B8">
      <w:r>
        <w:rPr>
          <w:rStyle w:val="CommentReference"/>
        </w:rPr>
        <w:annotationRef/>
      </w:r>
      <w:r>
        <w:rPr>
          <w:color w:val="000000"/>
          <w:sz w:val="20"/>
          <w:szCs w:val="20"/>
        </w:rPr>
        <w:t>Not clear what effect you mean!</w:t>
      </w:r>
    </w:p>
  </w:comment>
  <w:comment w:id="2" w:author="Hinrichs, Lars" w:date="2025-04-09T11:14:00Z" w:initials="LH">
    <w:p w14:paraId="599625DC" w14:textId="77777777" w:rsidR="004A768D" w:rsidRDefault="004A768D" w:rsidP="004A768D">
      <w:r>
        <w:rPr>
          <w:rStyle w:val="CommentReference"/>
        </w:rPr>
        <w:annotationRef/>
      </w:r>
      <w:r>
        <w:rPr>
          <w:color w:val="000000"/>
          <w:sz w:val="20"/>
          <w:szCs w:val="20"/>
        </w:rPr>
        <w:t>What is the early period? The free trade era you mentioned earlier?</w:t>
      </w:r>
    </w:p>
  </w:comment>
  <w:comment w:id="3" w:author="Hinrichs, Lars" w:date="2025-04-09T11:14:00Z" w:initials="LH">
    <w:p w14:paraId="3467DA9C" w14:textId="77777777" w:rsidR="005F32B3" w:rsidRDefault="005F32B3" w:rsidP="005F32B3">
      <w:r>
        <w:rPr>
          <w:rStyle w:val="CommentReference"/>
        </w:rPr>
        <w:annotationRef/>
      </w:r>
      <w:r>
        <w:rPr>
          <w:color w:val="000000"/>
          <w:sz w:val="20"/>
          <w:szCs w:val="20"/>
        </w:rPr>
        <w:t>Comparable data</w:t>
      </w:r>
    </w:p>
  </w:comment>
  <w:comment w:id="4" w:author="Hinrichs, Lars" w:date="2025-04-09T11:16:00Z" w:initials="LH">
    <w:p w14:paraId="0F4FCAAD" w14:textId="77777777" w:rsidR="00992BCA" w:rsidRDefault="00992BCA" w:rsidP="00992BCA">
      <w:r>
        <w:rPr>
          <w:rStyle w:val="CommentReference"/>
        </w:rPr>
        <w:annotationRef/>
      </w:r>
      <w:r>
        <w:rPr>
          <w:color w:val="000000"/>
          <w:sz w:val="20"/>
          <w:szCs w:val="20"/>
        </w:rPr>
        <w:t>Maybe one more sentence on what the parallel is, and the reason why we’d look at Austrian G/Belgian F</w:t>
      </w:r>
    </w:p>
  </w:comment>
  <w:comment w:id="5" w:author="Hinrichs, Lars" w:date="2025-04-09T11:17:00Z" w:initials="LH">
    <w:p w14:paraId="46D7DA3D" w14:textId="77777777" w:rsidR="00D21571" w:rsidRDefault="00D21571" w:rsidP="00D21571">
      <w:r>
        <w:rPr>
          <w:rStyle w:val="CommentReference"/>
        </w:rPr>
        <w:annotationRef/>
      </w:r>
      <w:r>
        <w:rPr>
          <w:color w:val="000000"/>
          <w:sz w:val="20"/>
          <w:szCs w:val="20"/>
        </w:rPr>
        <w:t>What?</w:t>
      </w:r>
    </w:p>
  </w:comment>
  <w:comment w:id="6" w:author="Hinrichs, Lars" w:date="2025-04-09T11:17:00Z" w:initials="LH">
    <w:p w14:paraId="3DFD29E9" w14:textId="77777777" w:rsidR="00D21571" w:rsidRDefault="00D21571" w:rsidP="00D21571">
      <w:r>
        <w:rPr>
          <w:rStyle w:val="CommentReference"/>
        </w:rPr>
        <w:annotationRef/>
      </w:r>
      <w:r>
        <w:rPr>
          <w:color w:val="000000"/>
          <w:sz w:val="20"/>
          <w:szCs w:val="20"/>
        </w:rPr>
        <w:t>Oh - British English?</w:t>
      </w:r>
    </w:p>
  </w:comment>
  <w:comment w:id="7" w:author="Hinrichs, Lars" w:date="2025-04-09T11:18:00Z" w:initials="LH">
    <w:p w14:paraId="248938F4" w14:textId="77777777" w:rsidR="008E5582" w:rsidRDefault="008E5582" w:rsidP="008E5582">
      <w:r>
        <w:rPr>
          <w:rStyle w:val="CommentReference"/>
        </w:rPr>
        <w:annotationRef/>
      </w:r>
      <w:r>
        <w:rPr>
          <w:color w:val="000000"/>
          <w:sz w:val="20"/>
          <w:szCs w:val="20"/>
        </w:rPr>
        <w:t xml:space="preserve">Maybe bring in the categories for the varieties in question that Mair 2013 (world system) proposes </w:t>
      </w:r>
    </w:p>
  </w:comment>
  <w:comment w:id="8" w:author="Hinrichs, Lars" w:date="2025-04-09T11:20:00Z" w:initials="LH">
    <w:p w14:paraId="4AE98659" w14:textId="77777777" w:rsidR="00D82F64" w:rsidRDefault="00D82F64" w:rsidP="00D82F64">
      <w:r>
        <w:rPr>
          <w:rStyle w:val="CommentReference"/>
        </w:rPr>
        <w:annotationRef/>
      </w:r>
      <w:r>
        <w:rPr>
          <w:color w:val="000000"/>
          <w:sz w:val="20"/>
          <w:szCs w:val="20"/>
        </w:rPr>
        <w:t>In the plot, the x axis labels are sometimes abbreviated and sometimes not, …</w:t>
      </w:r>
    </w:p>
  </w:comment>
  <w:comment w:id="9" w:author="Hinrichs, Lars" w:date="2025-04-09T11:21:00Z" w:initials="LH">
    <w:p w14:paraId="17216F9D" w14:textId="77777777" w:rsidR="003429AD" w:rsidRDefault="004813C8" w:rsidP="003429AD">
      <w:r>
        <w:rPr>
          <w:rStyle w:val="CommentReference"/>
        </w:rPr>
        <w:annotationRef/>
      </w:r>
      <w:r w:rsidR="003429AD">
        <w:rPr>
          <w:sz w:val="20"/>
          <w:szCs w:val="20"/>
        </w:rPr>
        <w:t xml:space="preserve">Sharpen the language here… “the difference between x and y?” What is x, what is 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F487" w15:done="0"/>
  <w15:commentEx w15:paraId="2A0E91A2" w15:done="0"/>
  <w15:commentEx w15:paraId="599625DC" w15:done="0"/>
  <w15:commentEx w15:paraId="3467DA9C" w15:done="0"/>
  <w15:commentEx w15:paraId="0F4FCAAD" w15:done="0"/>
  <w15:commentEx w15:paraId="46D7DA3D" w15:done="0"/>
  <w15:commentEx w15:paraId="3DFD29E9" w15:paraIdParent="46D7DA3D" w15:done="0"/>
  <w15:commentEx w15:paraId="248938F4" w15:done="0"/>
  <w15:commentEx w15:paraId="4AE98659" w15:done="0"/>
  <w15:commentEx w15:paraId="17216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72431A" w16cex:dateUtc="2025-04-09T16:13:00Z"/>
  <w16cex:commentExtensible w16cex:durableId="716B98BD" w16cex:dateUtc="2025-04-09T16:13:00Z"/>
  <w16cex:commentExtensible w16cex:durableId="36061124" w16cex:dateUtc="2025-04-09T16:14:00Z"/>
  <w16cex:commentExtensible w16cex:durableId="06B1F1EA" w16cex:dateUtc="2025-04-09T16:14:00Z"/>
  <w16cex:commentExtensible w16cex:durableId="3AAE7D97" w16cex:dateUtc="2025-04-09T16:16:00Z"/>
  <w16cex:commentExtensible w16cex:durableId="4BE0B37A" w16cex:dateUtc="2025-04-09T16:17:00Z"/>
  <w16cex:commentExtensible w16cex:durableId="5E84B044" w16cex:dateUtc="2025-04-09T16:17:00Z"/>
  <w16cex:commentExtensible w16cex:durableId="4553E4EC" w16cex:dateUtc="2025-04-09T16:18:00Z"/>
  <w16cex:commentExtensible w16cex:durableId="4C253910" w16cex:dateUtc="2025-04-09T16:20:00Z"/>
  <w16cex:commentExtensible w16cex:durableId="41ED561A" w16cex:dateUtc="2025-04-0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F487" w16cid:durableId="2672431A"/>
  <w16cid:commentId w16cid:paraId="2A0E91A2" w16cid:durableId="716B98BD"/>
  <w16cid:commentId w16cid:paraId="599625DC" w16cid:durableId="36061124"/>
  <w16cid:commentId w16cid:paraId="3467DA9C" w16cid:durableId="06B1F1EA"/>
  <w16cid:commentId w16cid:paraId="0F4FCAAD" w16cid:durableId="3AAE7D97"/>
  <w16cid:commentId w16cid:paraId="46D7DA3D" w16cid:durableId="4BE0B37A"/>
  <w16cid:commentId w16cid:paraId="3DFD29E9" w16cid:durableId="5E84B044"/>
  <w16cid:commentId w16cid:paraId="248938F4" w16cid:durableId="4553E4EC"/>
  <w16cid:commentId w16cid:paraId="4AE98659" w16cid:durableId="4C253910"/>
  <w16cid:commentId w16cid:paraId="17216F9D" w16cid:durableId="41ED56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2B250" w14:textId="77777777" w:rsidR="00FB53C6" w:rsidRDefault="00FB53C6" w:rsidP="009545C5">
      <w:r>
        <w:separator/>
      </w:r>
    </w:p>
  </w:endnote>
  <w:endnote w:type="continuationSeparator" w:id="0">
    <w:p w14:paraId="5D45A605" w14:textId="77777777" w:rsidR="00FB53C6" w:rsidRDefault="00FB53C6" w:rsidP="0095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FEBA0" w14:textId="77777777" w:rsidR="00FB53C6" w:rsidRDefault="00FB53C6" w:rsidP="009545C5">
      <w:r>
        <w:separator/>
      </w:r>
    </w:p>
  </w:footnote>
  <w:footnote w:type="continuationSeparator" w:id="0">
    <w:p w14:paraId="41B07CB4" w14:textId="77777777" w:rsidR="00FB53C6" w:rsidRDefault="00FB53C6" w:rsidP="009545C5">
      <w:r>
        <w:continuationSeparator/>
      </w:r>
    </w:p>
  </w:footnote>
  <w:footnote w:id="1">
    <w:p w14:paraId="548BAA0D" w14:textId="77EBAB43" w:rsidR="009545C5" w:rsidRPr="00F17B46" w:rsidRDefault="009545C5">
      <w:pPr>
        <w:pStyle w:val="FootnoteText"/>
        <w:rPr>
          <w:i/>
          <w:iCs/>
        </w:rPr>
      </w:pPr>
      <w:r>
        <w:rPr>
          <w:rStyle w:val="FootnoteReference"/>
        </w:rPr>
        <w:footnoteRef/>
      </w:r>
      <w:r>
        <w:t xml:space="preserve"> Canada-US Trade Agreement in 1988, NAFTA in 1994, the European Union 1993 and the founding of the World Trade Organization in </w:t>
      </w:r>
      <w:r w:rsidRPr="00F17B46">
        <w:rPr>
          <w:highlight w:val="yellow"/>
        </w:rPr>
        <w:t>1995</w:t>
      </w:r>
      <w:r w:rsidR="00F17B46">
        <w:t xml:space="preserve"> </w:t>
      </w:r>
      <w:r w:rsidR="00F17B46" w:rsidRPr="00F17B46">
        <w:rPr>
          <w:i/>
          <w:iCs/>
          <w:highlight w:val="yellow"/>
        </w:rPr>
        <w:t>punctuation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inrichs, Lars">
    <w15:presenceInfo w15:providerId="AD" w15:userId="S::txe@mail.utexas.edu::0986c9a5-0ceb-45de-afa3-21e1674a0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72"/>
    <w:rsid w:val="00003F5B"/>
    <w:rsid w:val="000E309F"/>
    <w:rsid w:val="000F6BB4"/>
    <w:rsid w:val="001102D6"/>
    <w:rsid w:val="00135108"/>
    <w:rsid w:val="00150E5C"/>
    <w:rsid w:val="00181AFC"/>
    <w:rsid w:val="001D00E7"/>
    <w:rsid w:val="001E13B8"/>
    <w:rsid w:val="001E7D74"/>
    <w:rsid w:val="002B4726"/>
    <w:rsid w:val="002E5CAF"/>
    <w:rsid w:val="003137DA"/>
    <w:rsid w:val="00316617"/>
    <w:rsid w:val="003429AD"/>
    <w:rsid w:val="00397322"/>
    <w:rsid w:val="00401011"/>
    <w:rsid w:val="004813C8"/>
    <w:rsid w:val="004A768D"/>
    <w:rsid w:val="004C034C"/>
    <w:rsid w:val="00567DA0"/>
    <w:rsid w:val="005F32B3"/>
    <w:rsid w:val="00622D3E"/>
    <w:rsid w:val="00631352"/>
    <w:rsid w:val="007056A9"/>
    <w:rsid w:val="008E5582"/>
    <w:rsid w:val="009063EA"/>
    <w:rsid w:val="0093182A"/>
    <w:rsid w:val="00947EA3"/>
    <w:rsid w:val="009545C5"/>
    <w:rsid w:val="0095584D"/>
    <w:rsid w:val="00992BCA"/>
    <w:rsid w:val="00993149"/>
    <w:rsid w:val="009B5172"/>
    <w:rsid w:val="009B5B33"/>
    <w:rsid w:val="009E5C21"/>
    <w:rsid w:val="00A3775E"/>
    <w:rsid w:val="00A471E8"/>
    <w:rsid w:val="00A76135"/>
    <w:rsid w:val="00AF7834"/>
    <w:rsid w:val="00B137AF"/>
    <w:rsid w:val="00B35EEA"/>
    <w:rsid w:val="00BB49EE"/>
    <w:rsid w:val="00C06F0C"/>
    <w:rsid w:val="00C60F8B"/>
    <w:rsid w:val="00CB2303"/>
    <w:rsid w:val="00CD6446"/>
    <w:rsid w:val="00CF2873"/>
    <w:rsid w:val="00D21571"/>
    <w:rsid w:val="00D82F64"/>
    <w:rsid w:val="00F03BDA"/>
    <w:rsid w:val="00F17B46"/>
    <w:rsid w:val="00F90F3B"/>
    <w:rsid w:val="00FB53C6"/>
    <w:rsid w:val="00FD7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828375"/>
  <w15:chartTrackingRefBased/>
  <w15:docId w15:val="{790CE84A-21A0-8943-ADD9-5251F951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181AFC"/>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AFC"/>
    <w:rPr>
      <w:b/>
      <w:bCs/>
      <w:sz w:val="28"/>
      <w:szCs w:val="28"/>
    </w:rPr>
  </w:style>
  <w:style w:type="paragraph" w:styleId="FootnoteText">
    <w:name w:val="footnote text"/>
    <w:basedOn w:val="Normal"/>
    <w:link w:val="FootnoteTextChar"/>
    <w:uiPriority w:val="99"/>
    <w:semiHidden/>
    <w:unhideWhenUsed/>
    <w:rsid w:val="009545C5"/>
    <w:rPr>
      <w:sz w:val="20"/>
      <w:szCs w:val="20"/>
    </w:rPr>
  </w:style>
  <w:style w:type="character" w:customStyle="1" w:styleId="FootnoteTextChar">
    <w:name w:val="Footnote Text Char"/>
    <w:basedOn w:val="DefaultParagraphFont"/>
    <w:link w:val="FootnoteText"/>
    <w:uiPriority w:val="99"/>
    <w:semiHidden/>
    <w:rsid w:val="009545C5"/>
    <w:rPr>
      <w:sz w:val="20"/>
      <w:szCs w:val="20"/>
    </w:rPr>
  </w:style>
  <w:style w:type="character" w:styleId="FootnoteReference">
    <w:name w:val="footnote reference"/>
    <w:basedOn w:val="DefaultParagraphFont"/>
    <w:uiPriority w:val="99"/>
    <w:semiHidden/>
    <w:unhideWhenUsed/>
    <w:rsid w:val="009545C5"/>
    <w:rPr>
      <w:vertAlign w:val="superscript"/>
    </w:rPr>
  </w:style>
  <w:style w:type="table" w:styleId="TableGrid">
    <w:name w:val="Table Grid"/>
    <w:basedOn w:val="TableNormal"/>
    <w:uiPriority w:val="39"/>
    <w:rsid w:val="00F0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37DA"/>
    <w:rPr>
      <w:sz w:val="16"/>
      <w:szCs w:val="16"/>
    </w:rPr>
  </w:style>
  <w:style w:type="paragraph" w:styleId="CommentText">
    <w:name w:val="annotation text"/>
    <w:basedOn w:val="Normal"/>
    <w:link w:val="CommentTextChar"/>
    <w:uiPriority w:val="99"/>
    <w:semiHidden/>
    <w:unhideWhenUsed/>
    <w:rsid w:val="003137DA"/>
    <w:rPr>
      <w:sz w:val="20"/>
      <w:szCs w:val="20"/>
    </w:rPr>
  </w:style>
  <w:style w:type="character" w:customStyle="1" w:styleId="CommentTextChar">
    <w:name w:val="Comment Text Char"/>
    <w:basedOn w:val="DefaultParagraphFont"/>
    <w:link w:val="CommentText"/>
    <w:uiPriority w:val="99"/>
    <w:semiHidden/>
    <w:rsid w:val="003137DA"/>
    <w:rPr>
      <w:sz w:val="20"/>
      <w:szCs w:val="20"/>
    </w:rPr>
  </w:style>
  <w:style w:type="paragraph" w:styleId="CommentSubject">
    <w:name w:val="annotation subject"/>
    <w:basedOn w:val="CommentText"/>
    <w:next w:val="CommentText"/>
    <w:link w:val="CommentSubjectChar"/>
    <w:uiPriority w:val="99"/>
    <w:semiHidden/>
    <w:unhideWhenUsed/>
    <w:rsid w:val="003137DA"/>
    <w:rPr>
      <w:b/>
      <w:bCs/>
    </w:rPr>
  </w:style>
  <w:style w:type="character" w:customStyle="1" w:styleId="CommentSubjectChar">
    <w:name w:val="Comment Subject Char"/>
    <w:basedOn w:val="CommentTextChar"/>
    <w:link w:val="CommentSubject"/>
    <w:uiPriority w:val="99"/>
    <w:semiHidden/>
    <w:rsid w:val="003137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Hinrichs, Lars</cp:lastModifiedBy>
  <cp:revision>43</cp:revision>
  <dcterms:created xsi:type="dcterms:W3CDTF">2025-02-06T15:47:00Z</dcterms:created>
  <dcterms:modified xsi:type="dcterms:W3CDTF">2025-04-12T21:56:00Z</dcterms:modified>
</cp:coreProperties>
</file>