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عبدالله عواد سلمان العزازمه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2002651042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غور الصافي 20/09/2012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عبدالله عواد سلمان العزازمه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47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2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56.9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