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jc w:val="center"/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00" w:before="0" w:line="240" w:lineRule="auto"/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0" w:line="240" w:lineRule="auto"/>
        <w:jc w:val="center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ESCUELA PROFESIONAL DE INGENIERÍA DE SOFTWARE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1660688</wp:posOffset>
            </wp:positionH>
            <wp:positionV relativeFrom="paragraph">
              <wp:posOffset>314325</wp:posOffset>
            </wp:positionV>
            <wp:extent cx="2407053" cy="29036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053" cy="290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00" w:before="200" w:lineRule="auto"/>
        <w:jc w:val="center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SMART MONEY PROJECT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GRUPO 01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LENIS ROSSI WONG PORTILLO</w:t>
      </w:r>
    </w:p>
    <w:p w:rsidR="00000000" w:rsidDel="00000000" w:rsidP="00000000" w:rsidRDefault="00000000" w:rsidRPr="00000000" w14:paraId="00000008">
      <w:pPr>
        <w:spacing w:after="200" w:before="200" w:lineRule="auto"/>
        <w:ind w:left="1275.5905511811022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Cachique Falcon, Williams Eduardo</w:t>
        <w:tab/>
        <w:tab/>
        <w:t xml:space="preserve">(19200272)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Caballero Leon Fredi Alexander</w:t>
        <w:tab/>
        <w:tab/>
        <w:t xml:space="preserve">(18200076)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Jiminez Davila Marcelo Antonio</w:t>
        <w:tab/>
        <w:tab/>
        <w:t xml:space="preserve">(19200299)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Marin Evangelista, Jorge Luis </w:t>
        <w:tab/>
        <w:tab/>
        <w:t xml:space="preserve">(18200275)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Pichilingue Pimentel, Nathaly Nicole</w:t>
        <w:tab/>
        <w:t xml:space="preserve">(19200247)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Quispe Cadillo, Andres</w:t>
        <w:tab/>
        <w:tab/>
        <w:tab/>
        <w:t xml:space="preserve">(19200289)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Santos Rojas, Daniel Israel</w:t>
        <w:tab/>
        <w:tab/>
        <w:tab/>
        <w:t xml:space="preserve">(19200102)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="240" w:lineRule="auto"/>
        <w:ind w:left="1275.5905511811022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Torre Arteaga, Alexander</w:t>
        <w:tab/>
        <w:tab/>
        <w:tab/>
        <w:t xml:space="preserve">(19200246)</w:t>
      </w:r>
    </w:p>
    <w:p w:rsidR="00000000" w:rsidDel="00000000" w:rsidP="00000000" w:rsidRDefault="00000000" w:rsidRPr="00000000" w14:paraId="00000011">
      <w:pPr>
        <w:spacing w:after="200" w:before="20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ind w:left="360"/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Perú - 2021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5"/>
        <w:gridCol w:w="2509"/>
        <w:gridCol w:w="2733"/>
        <w:gridCol w:w="2323"/>
        <w:tblGridChange w:id="0">
          <w:tblGrid>
            <w:gridCol w:w="1175"/>
            <w:gridCol w:w="2509"/>
            <w:gridCol w:w="2733"/>
            <w:gridCol w:w="23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Grupo 01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10/11/2021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4320" w:hanging="21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</w:numPr>
        <w:spacing w:after="240" w:line="276" w:lineRule="auto"/>
        <w:ind w:left="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spacing w:after="0" w:afterAutospacing="0" w:line="276" w:lineRule="auto"/>
        <w:ind w:left="1440" w:hanging="360"/>
        <w:rPr/>
      </w:pPr>
      <w:bookmarkStart w:colFirst="0" w:colLast="0" w:name="_tzc37lw088xj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spacing w:after="240" w:line="276" w:lineRule="auto"/>
        <w:ind w:left="2160" w:hanging="360"/>
        <w:rPr/>
      </w:pPr>
      <w:bookmarkStart w:colFirst="0" w:colLast="0" w:name="_ki9tkcozq7u5" w:id="1"/>
      <w:bookmarkEnd w:id="1"/>
      <w:r w:rsidDel="00000000" w:rsidR="00000000" w:rsidRPr="00000000">
        <w:rPr>
          <w:rtl w:val="0"/>
        </w:rPr>
        <w:t xml:space="preserve">Situación de la empresa</w:t>
      </w:r>
    </w:p>
    <w:p w:rsidR="00000000" w:rsidDel="00000000" w:rsidP="00000000" w:rsidRDefault="00000000" w:rsidRPr="00000000" w14:paraId="00000032">
      <w:pPr>
        <w:spacing w:after="240" w:line="276" w:lineRule="auto"/>
        <w:ind w:left="1417.3228346456694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0" w:right="0" w:hanging="360"/>
        <w:jc w:val="left"/>
      </w:pPr>
      <w:bookmarkStart w:colFirst="0" w:colLast="0" w:name="_7k4gii9tea5p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34">
      <w:pPr>
        <w:spacing w:after="240" w:line="276" w:lineRule="auto"/>
        <w:ind w:left="1417.3228346456694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 w:rsidR="00000000" w:rsidDel="00000000" w:rsidP="00000000" w:rsidRDefault="00000000" w:rsidRPr="00000000" w14:paraId="00000035">
      <w:pPr>
        <w:spacing w:after="240" w:line="276" w:lineRule="auto"/>
        <w:ind w:left="1417.3228346456694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 proyecto será adecuado, debido a la coyuntura actual, en donde nos encontramos siendo azotados por un virus. Esta plataforma nos permitirá hacer transacciones económicas sin la necesidad de que el cliente acuda a un centro bancario o caja de cambio de manera presencial, lo que impulsará el distanciamiento social que es requerido, además de ahorrar tiempo y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line="276" w:lineRule="auto"/>
        <w:ind w:left="216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del plan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240" w:line="276" w:lineRule="auto"/>
        <w:ind w:left="28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38">
      <w:pPr>
        <w:spacing w:after="240" w:line="276" w:lineRule="auto"/>
        <w:ind w:left="1984.25196850393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Ofrecer al público un servicio financiero digital fácil, rápido y seguro aplicando metodologías y tecnologías modernas que agilicen nuestros procesos al momento de adquirir activos como acciones, criptomonedas, divisas.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240" w:line="276" w:lineRule="auto"/>
        <w:ind w:left="28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3A">
      <w:pPr>
        <w:spacing w:after="240" w:line="276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Montar un sistema de backend rápido y capaz de procesar todas las transacciones de manera veloz.</w:t>
      </w:r>
    </w:p>
    <w:p w:rsidR="00000000" w:rsidDel="00000000" w:rsidP="00000000" w:rsidRDefault="00000000" w:rsidRPr="00000000" w14:paraId="0000003B">
      <w:pPr>
        <w:spacing w:after="240" w:line="276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Utilizar de manera eficiente los recursos de hardware de los que dispondremos.</w:t>
      </w:r>
    </w:p>
    <w:p w:rsidR="00000000" w:rsidDel="00000000" w:rsidP="00000000" w:rsidRDefault="00000000" w:rsidRPr="00000000" w14:paraId="0000003C">
      <w:pPr>
        <w:spacing w:after="240" w:line="276" w:lineRule="auto"/>
        <w:ind w:left="144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Ofrecer al público una interfaz intuitiva y fácil de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76" w:lineRule="auto"/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Actividades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de la GCS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</w:pPr>
      <w:bookmarkStart w:colFirst="0" w:colLast="0" w:name="_2gqz6jcnaasu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keepLines w:val="1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80" w:right="0" w:hanging="360"/>
        <w:jc w:val="left"/>
      </w:pPr>
      <w:bookmarkStart w:colFirst="0" w:colLast="0" w:name="_fhjdplb4mok9" w:id="4"/>
      <w:bookmarkEnd w:id="4"/>
      <w:r w:rsidDel="00000000" w:rsidR="00000000" w:rsidRPr="00000000">
        <w:rPr>
          <w:rFonts w:ascii="Roboto" w:cs="Roboto" w:eastAsia="Roboto" w:hAnsi="Roboto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Lista de clasificación de CI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1842.519685039369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continuación exponemos una pequeña lista de elementos pertenecientes al proyecto, clasificados según el tipo al que pertenecen. Ítem de evolución para documentos y ejecutables, ítems fuente generalmente código fuente que cambia frecuentemente y archivos 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Table2"/>
        <w:tblW w:w="9023.02089024586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8.0208902458621"/>
        <w:gridCol w:w="2925"/>
        <w:gridCol w:w="1590"/>
        <w:gridCol w:w="1245"/>
        <w:gridCol w:w="1725"/>
        <w:tblGridChange w:id="0">
          <w:tblGrid>
            <w:gridCol w:w="1538.0208902458621"/>
            <w:gridCol w:w="2925"/>
            <w:gridCol w:w="1590"/>
            <w:gridCol w:w="1245"/>
            <w:gridCol w:w="172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E=Evolución</w:t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F=Fuente S=Soporte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Nombre del 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Origen</w:t>
            </w:r>
          </w:p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E=Empresa</w:t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P=Proyecto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Extensión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Documento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Git-2.33.1-64-bit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.exe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VSCodeUserSetupx64-1.61.2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Documento de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Documento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Modelo de Distribución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Modelo de Maquetado de prototipos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Código fuente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URI de Base de Datos con credenciales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Money Project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3"/>
        </w:numPr>
        <w:ind w:left="2160" w:hanging="36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arkqaojvy3ya" w:id="5"/>
      <w:bookmarkEnd w:id="5"/>
      <w:r w:rsidDel="00000000" w:rsidR="00000000" w:rsidRPr="00000000">
        <w:rPr>
          <w:rtl w:val="0"/>
        </w:rPr>
        <w:t xml:space="preserve">Definición de la Nomenclatura de ítem</w:t>
      </w:r>
    </w:p>
    <w:p w:rsidR="00000000" w:rsidDel="00000000" w:rsidP="00000000" w:rsidRDefault="00000000" w:rsidRPr="00000000" w14:paraId="00000098">
      <w:pPr>
        <w:spacing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La estructura de la nomenclatura para los nombres de los elementos de la configuración se define a continuación: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Caso 1: En caso el ítem se trate de un elemento o documento que sea de uso en un proyecto en específico.</w:t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9"/>
        <w:tblGridChange w:id="0">
          <w:tblGrid>
            <w:gridCol w:w="68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ACRÓNIMO DEL PROYECTO + "-" + ACRÓNIMO DEL ELEMENTO + "." + EXTENSIÓN DEL ARCHIVO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Ejemplo: SMPO-PP.md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Caso 2: En caso de que el elemento sea solo para un proyecto y no un elemento perteneciente a un módulo.</w:t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9"/>
        <w:tblGridChange w:id="0">
          <w:tblGrid>
            <w:gridCol w:w="68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ACRÓNIMO DEL PROYECTO + "-" + ACRÓNIMO DEL DOCUMENTO +  "." + EXTENSIÓN DEL ARCHIVO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Documento de Base de Datos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SMPO-DBD.md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Caso 3: En caso de que el elemento pertenezca a un módulo.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9"/>
        <w:tblGridChange w:id="0">
          <w:tblGrid>
            <w:gridCol w:w="68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ACRÓNIMO DEL PROYECTO + "-" + ACRÓNIMO DEL MÓDULO + "." + EXTENSIÓN DEL ARCHIVO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Módulo de Inversión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SMPO-MI.py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3"/>
        </w:numPr>
        <w:ind w:left="2160" w:hanging="36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wj6ohqs5mmxm" w:id="6"/>
      <w:bookmarkEnd w:id="6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Lista de ítem con la nomenclatura</w:t>
      </w:r>
    </w:p>
    <w:p w:rsidR="00000000" w:rsidDel="00000000" w:rsidP="00000000" w:rsidRDefault="00000000" w:rsidRPr="00000000" w14:paraId="000000B7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La siguiente es una lista de los ítems mencionados anteriormente en el punto 2.1.1 . Utilizaremos la nomenclatura ya explicada:</w:t>
      </w:r>
    </w:p>
    <w:p w:rsidR="00000000" w:rsidDel="00000000" w:rsidP="00000000" w:rsidRDefault="00000000" w:rsidRPr="00000000" w14:paraId="000000B8">
      <w:pPr>
        <w:ind w:left="1417.3228346456694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11.677165354331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7.225721784777"/>
        <w:gridCol w:w="2537.225721784777"/>
        <w:gridCol w:w="2537.225721784777"/>
        <w:tblGridChange w:id="0">
          <w:tblGrid>
            <w:gridCol w:w="2537.225721784777"/>
            <w:gridCol w:w="2537.225721784777"/>
            <w:gridCol w:w="2537.2257217847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Item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SMPO-DHU.md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SMPO-PP.md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SMPO-G.exe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VSCUS.exe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SMPO-B.json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SMPO-PGC.md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SMPO-DBD.md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SMPO-DA.md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SMPO-DD.md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SMPO-DDIS.md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MSQL.exe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SMPO-MD.md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SMPO-MMP.md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SMPO-CFBE.py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SMPO-UBDC.md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SMPO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0">
      <w:pPr>
        <w:ind w:left="1417.3228346456694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276" w:lineRule="auto"/>
      <w:ind w:left="720" w:hanging="360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="276" w:lineRule="auto"/>
      <w:ind w:left="1440" w:hanging="360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