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color w:val="1B3A4B"/>
        </w:rPr>
        <w:t>Clause extraction</w:t>
      </w:r>
    </w:p>
    <w:p>
      <w:pPr>
        <w:pStyle w:val="Heading2"/>
      </w:pPr>
      <w:r>
        <w:t>e2e_sample_contract.txt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E8EEF2" w:val="clea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257"/>
            <w:shd w:fill="E8EEF2" w:val="clea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257"/>
            <w:shd w:fill="E8EEF2" w:val="clear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257"/>
            <w:shd w:fill="E8EEF2" w:val="clear"/>
          </w:tcPr>
          <w:p>
            <w:r>
              <w:rPr>
                <w:b/>
              </w:rPr>
              <w:t>Quote</w:t>
            </w:r>
          </w:p>
        </w:tc>
      </w:tr>
      <w:tr>
        <w:tc>
          <w:tcPr>
            <w:tcW w:type="dxa" w:w="2257"/>
          </w:tcPr>
          <w:p>
            <w:r>
              <w:t>Parties</w:t>
            </w:r>
          </w:p>
        </w:tc>
        <w:tc>
          <w:tcPr>
            <w:tcW w:type="dxa" w:w="2257"/>
          </w:tcPr>
          <w:p>
            <w:r>
              <w:t>found</w:t>
            </w:r>
          </w:p>
        </w:tc>
        <w:tc>
          <w:tcPr>
            <w:tcW w:type="dxa" w:w="2257"/>
          </w:tcPr>
          <w:p>
            <w:r>
              <w:t>Acme Private Limited (Client) and Beta Counsel (Counsel)</w:t>
            </w:r>
          </w:p>
        </w:tc>
        <w:tc>
          <w:tcPr>
            <w:tcW w:type="dxa" w:w="2257"/>
          </w:tcPr>
          <w:p>
            <w:r>
              <w:t>This Services Agreement is made on 1 March 2025 between Acme Private Limited ('Client') and Beta Counsel ('Counsel').</w:t>
            </w:r>
          </w:p>
        </w:tc>
      </w:tr>
      <w:tr>
        <w:tc>
          <w:tcPr>
            <w:tcW w:type="dxa" w:w="2257"/>
          </w:tcPr>
          <w:p>
            <w:r>
              <w:t>Effective date</w:t>
            </w:r>
          </w:p>
        </w:tc>
        <w:tc>
          <w:tcPr>
            <w:tcW w:type="dxa" w:w="2257"/>
          </w:tcPr>
          <w:p>
            <w:r>
              <w:t>found</w:t>
            </w:r>
          </w:p>
        </w:tc>
        <w:tc>
          <w:tcPr>
            <w:tcW w:type="dxa" w:w="2257"/>
          </w:tcPr>
          <w:p>
            <w:r>
              <w:t>1 March 2025</w:t>
            </w:r>
          </w:p>
        </w:tc>
        <w:tc>
          <w:tcPr>
            <w:tcW w:type="dxa" w:w="2257"/>
          </w:tcPr>
          <w:p>
            <w:r>
              <w:t>This Services Agreement is made on 1 March 2025 between</w:t>
            </w:r>
          </w:p>
        </w:tc>
      </w:tr>
      <w:tr>
        <w:tc>
          <w:tcPr>
            <w:tcW w:type="dxa" w:w="2257"/>
          </w:tcPr>
          <w:p>
            <w:r>
              <w:t>Term</w:t>
            </w:r>
          </w:p>
        </w:tc>
        <w:tc>
          <w:tcPr>
            <w:tcW w:type="dxa" w:w="2257"/>
          </w:tcPr>
          <w:p>
            <w:r>
              <w:t>found</w:t>
            </w:r>
          </w:p>
        </w:tc>
        <w:tc>
          <w:tcPr>
            <w:tcW w:type="dxa" w:w="2257"/>
          </w:tcPr>
          <w:p>
            <w:r>
              <w:t>24 months from the Effective Date</w:t>
            </w:r>
          </w:p>
        </w:tc>
        <w:tc>
          <w:tcPr>
            <w:tcW w:type="dxa" w:w="2257"/>
          </w:tcPr>
          <w:p>
            <w:r>
              <w:t>The term of this Agreement is 24 months from the Effective Date.</w:t>
            </w:r>
          </w:p>
        </w:tc>
      </w:tr>
      <w:tr>
        <w:tc>
          <w:tcPr>
            <w:tcW w:type="dxa" w:w="2257"/>
          </w:tcPr>
          <w:p>
            <w:r>
              <w:t>Governing law</w:t>
            </w:r>
          </w:p>
        </w:tc>
        <w:tc>
          <w:tcPr>
            <w:tcW w:type="dxa" w:w="2257"/>
          </w:tcPr>
          <w:p>
            <w:r>
              <w:t>found</w:t>
            </w:r>
          </w:p>
        </w:tc>
        <w:tc>
          <w:tcPr>
            <w:tcW w:type="dxa" w:w="2257"/>
          </w:tcPr>
          <w:p>
            <w:r>
              <w:t>Laws of Pakistan</w:t>
            </w:r>
          </w:p>
        </w:tc>
        <w:tc>
          <w:tcPr>
            <w:tcW w:type="dxa" w:w="2257"/>
          </w:tcPr>
          <w:p>
            <w:r>
              <w:t>This Agreement shall be governed by the laws of Pakistan.</w:t>
            </w:r>
          </w:p>
        </w:tc>
      </w:tr>
      <w:tr>
        <w:tc>
          <w:tcPr>
            <w:tcW w:type="dxa" w:w="2257"/>
          </w:tcPr>
          <w:p>
            <w:r>
              <w:t>Dispute resolution</w:t>
            </w:r>
          </w:p>
        </w:tc>
        <w:tc>
          <w:tcPr>
            <w:tcW w:type="dxa" w:w="2257"/>
          </w:tcPr>
          <w:p>
            <w:r>
              <w:t>found</w:t>
            </w:r>
          </w:p>
        </w:tc>
        <w:tc>
          <w:tcPr>
            <w:tcW w:type="dxa" w:w="2257"/>
          </w:tcPr>
          <w:p>
            <w:r>
              <w:t>Arbitration in Karachi</w:t>
            </w:r>
          </w:p>
        </w:tc>
        <w:tc>
          <w:tcPr>
            <w:tcW w:type="dxa" w:w="2257"/>
          </w:tcPr>
          <w:p>
            <w:r>
              <w:t>Disputes shall be resolved by arbitration in Karachi.</w:t>
            </w:r>
          </w:p>
        </w:tc>
      </w:tr>
      <w:tr>
        <w:tc>
          <w:tcPr>
            <w:tcW w:type="dxa" w:w="2257"/>
          </w:tcPr>
          <w:p>
            <w:r>
              <w:t>Payment</w:t>
            </w:r>
          </w:p>
        </w:tc>
        <w:tc>
          <w:tcPr>
            <w:tcW w:type="dxa" w:w="2257"/>
          </w:tcPr>
          <w:p>
            <w:r>
              <w:t>found</w:t>
            </w:r>
          </w:p>
        </w:tc>
        <w:tc>
          <w:tcPr>
            <w:tcW w:type="dxa" w:w="2257"/>
          </w:tcPr>
          <w:p>
            <w:r>
              <w:t>Due within 30 days of invoice</w:t>
            </w:r>
          </w:p>
        </w:tc>
        <w:tc>
          <w:tcPr>
            <w:tcW w:type="dxa" w:w="2257"/>
          </w:tcPr>
          <w:p>
            <w:r>
              <w:t>Payment is due within 30 days of invoice.</w:t>
            </w:r>
          </w:p>
        </w:tc>
      </w:tr>
      <w:tr>
        <w:tc>
          <w:tcPr>
            <w:tcW w:type="dxa" w:w="2257"/>
          </w:tcPr>
          <w:p>
            <w:r>
              <w:t>Liability cap</w:t>
            </w:r>
          </w:p>
        </w:tc>
        <w:tc>
          <w:tcPr>
            <w:tcW w:type="dxa" w:w="2257"/>
          </w:tcPr>
          <w:p>
            <w:r>
              <w:t>found</w:t>
            </w:r>
          </w:p>
        </w:tc>
        <w:tc>
          <w:tcPr>
            <w:tcW w:type="dxa" w:w="2257"/>
          </w:tcPr>
          <w:p>
            <w:r>
              <w:t>PKR 1,000,000</w:t>
            </w:r>
          </w:p>
        </w:tc>
        <w:tc>
          <w:tcPr>
            <w:tcW w:type="dxa" w:w="2257"/>
          </w:tcPr>
          <w:p>
            <w:r>
              <w:t>Liability of Counsel is capped at PKR 1,000,000.</w:t>
            </w:r>
          </w:p>
        </w:tc>
      </w:tr>
      <w:tr>
        <w:tc>
          <w:tcPr>
            <w:tcW w:type="dxa" w:w="2257"/>
          </w:tcPr>
          <w:p>
            <w:r>
              <w:t>Indemnity</w:t>
            </w:r>
          </w:p>
        </w:tc>
        <w:tc>
          <w:tcPr>
            <w:tcW w:type="dxa" w:w="2257"/>
          </w:tcPr>
          <w:p>
            <w:r>
              <w:t>found</w:t>
            </w:r>
          </w:p>
        </w:tc>
        <w:tc>
          <w:tcPr>
            <w:tcW w:type="dxa" w:w="2257"/>
          </w:tcPr>
          <w:p>
            <w:r>
              <w:t>Counsel indemnifies Client against third-party IP claims</w:t>
            </w:r>
          </w:p>
        </w:tc>
        <w:tc>
          <w:tcPr>
            <w:tcW w:type="dxa" w:w="2257"/>
          </w:tcPr>
          <w:p>
            <w:r>
              <w:t>Indemnity: Counsel shall indemnify Client against third-party IP claims.</w:t>
            </w:r>
          </w:p>
        </w:tc>
      </w:tr>
      <w:tr>
        <w:tc>
          <w:tcPr>
            <w:tcW w:type="dxa" w:w="2257"/>
          </w:tcPr>
          <w:p>
            <w:r>
              <w:t>Termination</w:t>
            </w:r>
          </w:p>
        </w:tc>
        <w:tc>
          <w:tcPr>
            <w:tcW w:type="dxa" w:w="2257"/>
          </w:tcPr>
          <w:p>
            <w:r>
              <w:t>found</w:t>
            </w:r>
          </w:p>
        </w:tc>
        <w:tc>
          <w:tcPr>
            <w:tcW w:type="dxa" w:w="2257"/>
          </w:tcPr>
          <w:p>
            <w:r>
              <w:t>30 days written notice</w:t>
            </w:r>
          </w:p>
        </w:tc>
        <w:tc>
          <w:tcPr>
            <w:tcW w:type="dxa" w:w="2257"/>
          </w:tcPr>
          <w:p>
            <w:r>
              <w:t>Either party may terminate on 30 days written notice.</w:t>
            </w:r>
          </w:p>
        </w:tc>
      </w:tr>
      <w:tr>
        <w:tc>
          <w:tcPr>
            <w:tcW w:type="dxa" w:w="2257"/>
          </w:tcPr>
          <w:p>
            <w:r>
              <w:t>Renewal</w:t>
            </w:r>
          </w:p>
        </w:tc>
        <w:tc>
          <w:tcPr>
            <w:tcW w:type="dxa" w:w="2257"/>
          </w:tcPr>
          <w:p>
            <w:r>
              <w:t>found</w:t>
            </w:r>
          </w:p>
        </w:tc>
        <w:tc>
          <w:tcPr>
            <w:tcW w:type="dxa" w:w="2257"/>
          </w:tcPr>
          <w:p>
            <w:r>
              <w:t>Automatic for successive 12-month periods unless notice is given</w:t>
            </w:r>
          </w:p>
        </w:tc>
        <w:tc>
          <w:tcPr>
            <w:tcW w:type="dxa" w:w="2257"/>
          </w:tcPr>
          <w:p>
            <w:r>
              <w:t>Renewal is automatic for successive 12-month periods unless notice is given.</w:t>
            </w:r>
          </w:p>
        </w:tc>
      </w:tr>
      <w:tr>
        <w:tc>
          <w:tcPr>
            <w:tcW w:type="dxa" w:w="2257"/>
          </w:tcPr>
          <w:p>
            <w:r>
              <w:t>Confidentiality</w:t>
            </w:r>
          </w:p>
        </w:tc>
        <w:tc>
          <w:tcPr>
            <w:tcW w:type="dxa" w:w="2257"/>
          </w:tcPr>
          <w:p>
            <w:r>
              <w:t>found</w:t>
            </w:r>
          </w:p>
        </w:tc>
        <w:tc>
          <w:tcPr>
            <w:tcW w:type="dxa" w:w="2257"/>
          </w:tcPr>
          <w:p>
            <w:r>
              <w:t>Confidential information not disclosed for 3 years</w:t>
            </w:r>
          </w:p>
        </w:tc>
        <w:tc>
          <w:tcPr>
            <w:tcW w:type="dxa" w:w="2257"/>
          </w:tcPr>
          <w:p>
            <w:r>
              <w:t>Confidential information shall not be disclosed for 3 years.</w:t>
            </w:r>
          </w:p>
        </w:tc>
      </w:tr>
      <w:tr>
        <w:tc>
          <w:tcPr>
            <w:tcW w:type="dxa" w:w="2257"/>
          </w:tcPr>
          <w:p>
            <w:r>
              <w:t>Assignment</w:t>
            </w:r>
          </w:p>
        </w:tc>
        <w:tc>
          <w:tcPr>
            <w:tcW w:type="dxa" w:w="2257"/>
          </w:tcPr>
          <w:p>
            <w:r>
              <w:t>found</w:t>
            </w:r>
          </w:p>
        </w:tc>
        <w:tc>
          <w:tcPr>
            <w:tcW w:type="dxa" w:w="2257"/>
          </w:tcPr>
          <w:p>
            <w:r>
              <w:t>Requires prior written consent of the other party</w:t>
            </w:r>
          </w:p>
        </w:tc>
        <w:tc>
          <w:tcPr>
            <w:tcW w:type="dxa" w:w="2257"/>
          </w:tcPr>
          <w:p>
            <w:r>
              <w:t>Assignment requires prior written consent of the other party.</w:t>
            </w:r>
          </w:p>
        </w:tc>
      </w:tr>
    </w:tbl>
    <w:p>
      <w:r>
        <w:rPr>
          <w:i/>
          <w:color w:val="555555"/>
          <w:sz w:val="18"/>
        </w:rPr>
        <w:t>Generated by LegalGPT. This is a working draft, not legal advice. Verify against the source document before sending.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