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FE081"/>
          <w:sz w:val="32"/>
        </w:rPr>
        <w:t xml:space="preserve">■  </w:t>
      </w:r>
      <w:r>
        <w:rPr>
          <w:b/>
          <w:sz w:val="32"/>
        </w:rPr>
        <w:t>Cobalt</w:t>
      </w:r>
      <w:r>
        <w:rPr>
          <w:color w:val="5B6660"/>
          <w:sz w:val="32"/>
        </w:rPr>
        <w:t xml:space="preserve"> · Treasury</w:t>
      </w:r>
    </w:p>
    <w:p>
      <w:pPr>
        <w:spacing w:after="40"/>
      </w:pPr>
      <w:r>
        <w:rPr>
          <w:b/>
          <w:color w:val="0C0F0D"/>
          <w:sz w:val="44"/>
        </w:rPr>
        <w:t>Treasury Policy &amp; Procedures Handbook</w:t>
      </w:r>
    </w:p>
    <w:p>
      <w:r>
        <w:rPr>
          <w:color w:val="5B6660"/>
          <w:sz w:val="19"/>
        </w:rPr>
        <w:t>Version 7.1  ·  Owner: Maya Okonkwo, Group Treasurer  ·  Last reviewed 2026-04-30  ·  Confidential</w:t>
      </w:r>
    </w:p>
    <w:p>
      <w:r>
        <w:rPr>
          <w:sz w:val="20"/>
        </w:rPr>
        <w:t>The operating bible for the Cobalt treasury function. This handbook governs how the team manages cash, controls payments, hedges currency risk, and meets its SOX and board obligations. It is referenced by the Treasury Academy onboarding curriculum and by the payment approval board. Where this handbook conflicts with a specific board-approved policy, the board policy prevails.</w:t>
      </w:r>
    </w:p>
    <w:p>
      <w:pPr>
        <w:spacing w:before="280" w:after="80"/>
        <w:pBdr>
          <w:bottom w:val="single" w:sz="6" w:space="4" w:color="E6EFE9"/>
        </w:pBdr>
      </w:pPr>
      <w:r>
        <w:rPr>
          <w:b/>
          <w:color w:val="149157"/>
          <w:sz w:val="26"/>
        </w:rPr>
        <w:t xml:space="preserve">1.  </w:t>
      </w:r>
      <w:r>
        <w:rPr>
          <w:b/>
          <w:color w:val="0C0F0D"/>
          <w:sz w:val="26"/>
        </w:rPr>
        <w:t>Governance &amp; delegation of authority</w:t>
      </w:r>
    </w:p>
    <w:p>
      <w:r>
        <w:t>Authority to commit company funds is delegated by dollar threshold. Every payment and investment is approved at or above its required tier. Thresholds are per-transaction in USD equivalent.</w:t>
      </w:r>
    </w:p>
    <w:tbl>
      <w:tblPr>
        <w:tblStyle w:val="TableGrid"/>
        <w:tblW w:type="auto" w:w="0"/>
        <w:jc w:val="left"/>
        <w:tblLook w:firstColumn="1" w:firstRow="1" w:lastColumn="0" w:lastRow="0" w:noHBand="0" w:noVBand="1" w:val="04A0"/>
      </w:tblPr>
      <w:tblGrid>
        <w:gridCol w:w="2880"/>
        <w:gridCol w:w="2880"/>
        <w:gridCol w:w="2880"/>
      </w:tblGrid>
      <w:tr>
        <w:tc>
          <w:tcPr>
            <w:tcW w:type="dxa" w:w="4032"/>
            <w:shd w:val="clear" w:fill="E3F4EA"/>
          </w:tcPr>
          <w:p>
            <w:r/>
            <w:r>
              <w:rPr>
                <w:rFonts w:ascii="Geist" w:hAnsi="Geist"/>
                <w:b/>
                <w:color w:val="0C0F0D"/>
                <w:sz w:val="18"/>
              </w:rPr>
              <w:t>Action</w:t>
            </w:r>
          </w:p>
        </w:tc>
        <w:tc>
          <w:tcPr>
            <w:tcW w:type="dxa" w:w="3744"/>
            <w:shd w:val="clear" w:fill="E3F4EA"/>
          </w:tcPr>
          <w:p>
            <w:r/>
            <w:r>
              <w:rPr>
                <w:rFonts w:ascii="Geist" w:hAnsi="Geist"/>
                <w:b/>
                <w:color w:val="0C0F0D"/>
                <w:sz w:val="18"/>
              </w:rPr>
              <w:t>Approval required</w:t>
            </w:r>
          </w:p>
        </w:tc>
        <w:tc>
          <w:tcPr>
            <w:tcW w:type="dxa" w:w="1872"/>
            <w:shd w:val="clear" w:fill="E3F4EA"/>
          </w:tcPr>
          <w:p>
            <w:r/>
            <w:r>
              <w:rPr>
                <w:rFonts w:ascii="Geist" w:hAnsi="Geist"/>
                <w:b/>
                <w:color w:val="0C0F0D"/>
                <w:sz w:val="18"/>
              </w:rPr>
              <w:t>Threshold</w:t>
            </w:r>
          </w:p>
        </w:tc>
      </w:tr>
      <w:tr>
        <w:tc>
          <w:tcPr>
            <w:tcW w:type="dxa" w:w="4032"/>
          </w:tcPr>
          <w:p>
            <w:r/>
            <w:r>
              <w:rPr>
                <w:rFonts w:ascii="Geist" w:hAnsi="Geist"/>
                <w:b w:val="0"/>
                <w:color w:val="0C0F0D"/>
                <w:sz w:val="18"/>
              </w:rPr>
              <w:t>Routine AP / AR posting</w:t>
            </w:r>
          </w:p>
        </w:tc>
        <w:tc>
          <w:tcPr>
            <w:tcW w:type="dxa" w:w="3744"/>
          </w:tcPr>
          <w:p>
            <w:r/>
            <w:r>
              <w:rPr>
                <w:rFonts w:ascii="Geist" w:hAnsi="Geist"/>
                <w:b w:val="0"/>
                <w:color w:val="0C0F0D"/>
                <w:sz w:val="18"/>
              </w:rPr>
              <w:t>Treasury Analyst</w:t>
            </w:r>
          </w:p>
        </w:tc>
        <w:tc>
          <w:tcPr>
            <w:tcW w:type="dxa" w:w="1872"/>
          </w:tcPr>
          <w:p>
            <w:r/>
            <w:r>
              <w:rPr>
                <w:rFonts w:ascii="Geist" w:hAnsi="Geist"/>
                <w:b w:val="0"/>
                <w:color w:val="0C0F0D"/>
                <w:sz w:val="18"/>
              </w:rPr>
              <w:t>&lt; $250K</w:t>
            </w:r>
          </w:p>
        </w:tc>
      </w:tr>
      <w:tr>
        <w:tc>
          <w:tcPr>
            <w:tcW w:type="dxa" w:w="4032"/>
            <w:shd w:val="clear" w:fill="F4FAF6"/>
          </w:tcPr>
          <w:p>
            <w:r/>
            <w:r>
              <w:rPr>
                <w:rFonts w:ascii="Geist" w:hAnsi="Geist"/>
                <w:b w:val="0"/>
                <w:color w:val="0C0F0D"/>
                <w:sz w:val="18"/>
              </w:rPr>
              <w:t>Vendor payment</w:t>
            </w:r>
          </w:p>
        </w:tc>
        <w:tc>
          <w:tcPr>
            <w:tcW w:type="dxa" w:w="3744"/>
            <w:shd w:val="clear" w:fill="F4FAF6"/>
          </w:tcPr>
          <w:p>
            <w:r/>
            <w:r>
              <w:rPr>
                <w:rFonts w:ascii="Geist" w:hAnsi="Geist"/>
                <w:b w:val="0"/>
                <w:color w:val="0C0F0D"/>
                <w:sz w:val="18"/>
              </w:rPr>
              <w:t>Treasury Manager</w:t>
            </w:r>
          </w:p>
        </w:tc>
        <w:tc>
          <w:tcPr>
            <w:tcW w:type="dxa" w:w="1872"/>
            <w:shd w:val="clear" w:fill="F4FAF6"/>
          </w:tcPr>
          <w:p>
            <w:r/>
            <w:r>
              <w:rPr>
                <w:rFonts w:ascii="Geist" w:hAnsi="Geist"/>
                <w:b w:val="0"/>
                <w:color w:val="0C0F0D"/>
                <w:sz w:val="18"/>
              </w:rPr>
              <w:t>$250K – $1M</w:t>
            </w:r>
          </w:p>
        </w:tc>
      </w:tr>
      <w:tr>
        <w:tc>
          <w:tcPr>
            <w:tcW w:type="dxa" w:w="4032"/>
          </w:tcPr>
          <w:p>
            <w:r/>
            <w:r>
              <w:rPr>
                <w:rFonts w:ascii="Geist" w:hAnsi="Geist"/>
                <w:b w:val="0"/>
                <w:color w:val="0C0F0D"/>
                <w:sz w:val="18"/>
              </w:rPr>
              <w:t>Vendor payment (dual control)</w:t>
            </w:r>
          </w:p>
        </w:tc>
        <w:tc>
          <w:tcPr>
            <w:tcW w:type="dxa" w:w="3744"/>
          </w:tcPr>
          <w:p>
            <w:r/>
            <w:r>
              <w:rPr>
                <w:rFonts w:ascii="Geist" w:hAnsi="Geist"/>
                <w:b w:val="0"/>
                <w:color w:val="0C0F0D"/>
                <w:sz w:val="18"/>
              </w:rPr>
              <w:t>Manager + second approver</w:t>
            </w:r>
          </w:p>
        </w:tc>
        <w:tc>
          <w:tcPr>
            <w:tcW w:type="dxa" w:w="1872"/>
          </w:tcPr>
          <w:p>
            <w:r/>
            <w:r>
              <w:rPr>
                <w:rFonts w:ascii="Geist" w:hAnsi="Geist"/>
                <w:b w:val="0"/>
                <w:color w:val="0C0F0D"/>
                <w:sz w:val="18"/>
              </w:rPr>
              <w:t>$1M – $5M</w:t>
            </w:r>
          </w:p>
        </w:tc>
      </w:tr>
      <w:tr>
        <w:tc>
          <w:tcPr>
            <w:tcW w:type="dxa" w:w="4032"/>
            <w:shd w:val="clear" w:fill="F4FAF6"/>
          </w:tcPr>
          <w:p>
            <w:r/>
            <w:r>
              <w:rPr>
                <w:rFonts w:ascii="Geist" w:hAnsi="Geist"/>
                <w:b w:val="0"/>
                <w:color w:val="0C0F0D"/>
                <w:sz w:val="18"/>
              </w:rPr>
              <w:t>Any payment</w:t>
            </w:r>
          </w:p>
        </w:tc>
        <w:tc>
          <w:tcPr>
            <w:tcW w:type="dxa" w:w="3744"/>
            <w:shd w:val="clear" w:fill="F4FAF6"/>
          </w:tcPr>
          <w:p>
            <w:r/>
            <w:r>
              <w:rPr>
                <w:rFonts w:ascii="Geist" w:hAnsi="Geist"/>
                <w:b w:val="0"/>
                <w:color w:val="0C0F0D"/>
                <w:sz w:val="18"/>
              </w:rPr>
              <w:t>Group Treasurer sign-off</w:t>
            </w:r>
          </w:p>
        </w:tc>
        <w:tc>
          <w:tcPr>
            <w:tcW w:type="dxa" w:w="1872"/>
            <w:shd w:val="clear" w:fill="F4FAF6"/>
          </w:tcPr>
          <w:p>
            <w:r/>
            <w:r>
              <w:rPr>
                <w:rFonts w:ascii="Geist" w:hAnsi="Geist"/>
                <w:b w:val="0"/>
                <w:color w:val="0C0F0D"/>
                <w:sz w:val="18"/>
              </w:rPr>
              <w:t>&gt; $5M</w:t>
            </w:r>
          </w:p>
        </w:tc>
      </w:tr>
      <w:tr>
        <w:tc>
          <w:tcPr>
            <w:tcW w:type="dxa" w:w="4032"/>
          </w:tcPr>
          <w:p>
            <w:r/>
            <w:r>
              <w:rPr>
                <w:rFonts w:ascii="Geist" w:hAnsi="Geist"/>
                <w:b w:val="0"/>
                <w:color w:val="0C0F0D"/>
                <w:sz w:val="18"/>
              </w:rPr>
              <w:t>New bank account / facility</w:t>
            </w:r>
          </w:p>
        </w:tc>
        <w:tc>
          <w:tcPr>
            <w:tcW w:type="dxa" w:w="3744"/>
          </w:tcPr>
          <w:p>
            <w:r/>
            <w:r>
              <w:rPr>
                <w:rFonts w:ascii="Geist" w:hAnsi="Geist"/>
                <w:b w:val="0"/>
                <w:color w:val="0C0F0D"/>
                <w:sz w:val="18"/>
              </w:rPr>
              <w:t>CFO</w:t>
            </w:r>
          </w:p>
        </w:tc>
        <w:tc>
          <w:tcPr>
            <w:tcW w:type="dxa" w:w="1872"/>
          </w:tcPr>
          <w:p>
            <w:r/>
            <w:r>
              <w:rPr>
                <w:rFonts w:ascii="Geist" w:hAnsi="Geist"/>
                <w:b w:val="0"/>
                <w:color w:val="0C0F0D"/>
                <w:sz w:val="18"/>
              </w:rPr>
              <w:t>Any</w:t>
            </w:r>
          </w:p>
        </w:tc>
      </w:tr>
      <w:tr>
        <w:tc>
          <w:tcPr>
            <w:tcW w:type="dxa" w:w="4032"/>
            <w:shd w:val="clear" w:fill="F4FAF6"/>
          </w:tcPr>
          <w:p>
            <w:r/>
            <w:r>
              <w:rPr>
                <w:rFonts w:ascii="Geist" w:hAnsi="Geist"/>
                <w:b w:val="0"/>
                <w:color w:val="0C0F0D"/>
                <w:sz w:val="18"/>
              </w:rPr>
              <w:t>Investment outside IPS</w:t>
            </w:r>
          </w:p>
        </w:tc>
        <w:tc>
          <w:tcPr>
            <w:tcW w:type="dxa" w:w="3744"/>
            <w:shd w:val="clear" w:fill="F4FAF6"/>
          </w:tcPr>
          <w:p>
            <w:r/>
            <w:r>
              <w:rPr>
                <w:rFonts w:ascii="Geist" w:hAnsi="Geist"/>
                <w:b w:val="0"/>
                <w:color w:val="0C0F0D"/>
                <w:sz w:val="18"/>
              </w:rPr>
              <w:t>CFO + Board notification</w:t>
            </w:r>
          </w:p>
        </w:tc>
        <w:tc>
          <w:tcPr>
            <w:tcW w:type="dxa" w:w="1872"/>
            <w:shd w:val="clear" w:fill="F4FAF6"/>
          </w:tcPr>
          <w:p>
            <w:r/>
            <w:r>
              <w:rPr>
                <w:rFonts w:ascii="Geist" w:hAnsi="Geist"/>
                <w:b w:val="0"/>
                <w:color w:val="0C0F0D"/>
                <w:sz w:val="18"/>
              </w:rPr>
              <w:t>Any</w:t>
            </w:r>
          </w:p>
        </w:tc>
      </w:tr>
    </w:tbl>
    <w:p>
      <w:pPr>
        <w:spacing w:before="280" w:after="80"/>
        <w:pBdr>
          <w:bottom w:val="single" w:sz="6" w:space="4" w:color="E6EFE9"/>
        </w:pBdr>
      </w:pPr>
      <w:r>
        <w:rPr>
          <w:b/>
          <w:color w:val="149157"/>
          <w:sz w:val="26"/>
        </w:rPr>
        <w:t xml:space="preserve">2.  </w:t>
      </w:r>
      <w:r>
        <w:rPr>
          <w:b/>
          <w:color w:val="0C0F0D"/>
          <w:sz w:val="26"/>
        </w:rPr>
        <w:t>Cash management</w:t>
      </w:r>
    </w:p>
    <w:p>
      <w:pPr>
        <w:spacing w:before="160" w:after="40"/>
      </w:pPr>
      <w:r>
        <w:rPr>
          <w:b/>
          <w:sz w:val="21"/>
        </w:rPr>
        <w:t>Daily position process</w:t>
      </w:r>
    </w:p>
    <w:p>
      <w:pPr>
        <w:pStyle w:val="ListBullet"/>
      </w:pPr>
      <w:r>
        <w:rPr>
          <w:sz w:val="20"/>
        </w:rPr>
        <w:t>Cash Manager produces the consolidated morning position by 09:00 ET, circulated to the CFO and Controller.</w:t>
      </w:r>
    </w:p>
    <w:p>
      <w:pPr>
        <w:pStyle w:val="ListBullet"/>
      </w:pPr>
      <w:r>
        <w:rPr>
          <w:sz w:val="20"/>
        </w:rPr>
        <w:t>Idle operating balances above the entity buffer are swept to a government MMF the same day.</w:t>
      </w:r>
    </w:p>
    <w:p>
      <w:pPr>
        <w:pStyle w:val="ListBullet"/>
      </w:pPr>
      <w:r>
        <w:rPr>
          <w:sz w:val="20"/>
        </w:rPr>
        <w:t>All entity positions are reconciled to bank statements by end of day; breaks over $50K are escalated.</w:t>
      </w:r>
    </w:p>
    <w:p>
      <w:pPr>
        <w:spacing w:before="160" w:after="40"/>
      </w:pPr>
      <w:r>
        <w:rPr>
          <w:b/>
          <w:sz w:val="21"/>
        </w:rPr>
        <w:t>Account opening / closing</w:t>
      </w:r>
    </w:p>
    <w:p>
      <w:pPr>
        <w:pStyle w:val="ListBullet"/>
      </w:pPr>
      <w:r>
        <w:rPr>
          <w:sz w:val="20"/>
        </w:rPr>
        <w:t>New accounts require CFO approval, a documented business purpose, and addition to the bank account inventory.</w:t>
      </w:r>
    </w:p>
    <w:p>
      <w:pPr>
        <w:pStyle w:val="ListBullet"/>
      </w:pPr>
      <w:r>
        <w:rPr>
          <w:sz w:val="20"/>
        </w:rPr>
        <w:t>Dormant accounts (no activity 90 days) are reviewed quarterly and closed where possible.</w:t>
      </w:r>
    </w:p>
    <w:p>
      <w:pPr>
        <w:spacing w:before="160" w:after="40"/>
      </w:pPr>
      <w:r>
        <w:rPr>
          <w:b/>
          <w:sz w:val="21"/>
        </w:rPr>
        <w:t>ZBA &amp; pooling</w:t>
      </w:r>
    </w:p>
    <w:p>
      <w:pPr>
        <w:pStyle w:val="ListBullet"/>
      </w:pPr>
      <w:r>
        <w:rPr>
          <w:sz w:val="20"/>
        </w:rPr>
        <w:t>Zero-balance accounts auto-fund from the entity header account; pooling is operated in the EU under the HSBC notional structure.</w:t>
      </w:r>
    </w:p>
    <w:p>
      <w:pPr>
        <w:spacing w:before="280" w:after="80"/>
        <w:pBdr>
          <w:bottom w:val="single" w:sz="6" w:space="4" w:color="E6EFE9"/>
        </w:pBdr>
      </w:pPr>
      <w:r>
        <w:rPr>
          <w:b/>
          <w:color w:val="149157"/>
          <w:sz w:val="26"/>
        </w:rPr>
        <w:t xml:space="preserve">3.  </w:t>
      </w:r>
      <w:r>
        <w:rPr>
          <w:b/>
          <w:color w:val="0C0F0D"/>
          <w:sz w:val="26"/>
        </w:rPr>
        <w:t>Payment controls</w:t>
      </w:r>
    </w:p>
    <w:p>
      <w:pPr>
        <w:pStyle w:val="ListBullet"/>
      </w:pPr>
      <w:r>
        <w:rPr>
          <w:b/>
          <w:sz w:val="20"/>
        </w:rPr>
        <w:t xml:space="preserve">Maker-checker. </w:t>
      </w:r>
      <w:r>
        <w:rPr>
          <w:sz w:val="20"/>
        </w:rPr>
        <w:t>Maker-checker on every outbound payment — the initiator may never be the approver.</w:t>
      </w:r>
    </w:p>
    <w:p>
      <w:pPr>
        <w:pStyle w:val="ListBullet"/>
      </w:pPr>
      <w:r>
        <w:rPr>
          <w:b/>
          <w:sz w:val="20"/>
        </w:rPr>
        <w:t xml:space="preserve">Dual control </w:t>
      </w:r>
      <w:r>
        <w:rPr>
          <w:sz w:val="20"/>
        </w:rPr>
        <w:t>required on all payments over $1M; Treasurer sign-off over $5M.</w:t>
      </w:r>
    </w:p>
    <w:p>
      <w:pPr>
        <w:pStyle w:val="ListBullet"/>
      </w:pPr>
      <w:r>
        <w:rPr>
          <w:b/>
          <w:sz w:val="20"/>
        </w:rPr>
        <w:t xml:space="preserve">Beneficiary callback. </w:t>
      </w:r>
      <w:r>
        <w:rPr>
          <w:sz w:val="20"/>
        </w:rPr>
        <w:t>All new or amended beneficiaries are verified by an independent phone callback to a known contact before first payment.</w:t>
      </w:r>
    </w:p>
    <w:p>
      <w:pPr>
        <w:pStyle w:val="ListBullet"/>
      </w:pPr>
      <w:r>
        <w:rPr>
          <w:b/>
          <w:sz w:val="20"/>
        </w:rPr>
        <w:t xml:space="preserve">OFAC / sanctions. </w:t>
      </w:r>
      <w:r>
        <w:rPr>
          <w:sz w:val="20"/>
        </w:rPr>
        <w:t>Every payment is screened against OFAC and applicable sanctions lists before release; hits are held pending compliance review.</w:t>
      </w:r>
    </w:p>
    <w:p>
      <w:pPr>
        <w:pStyle w:val="ListBullet"/>
      </w:pPr>
      <w:r>
        <w:rPr>
          <w:b/>
          <w:sz w:val="20"/>
        </w:rPr>
        <w:t xml:space="preserve">Templates. </w:t>
      </w:r>
      <w:r>
        <w:rPr>
          <w:sz w:val="20"/>
        </w:rPr>
        <w:t>Payment templates are locked; ad-hoc free-form wires above $1M require Treasurer approval.</w:t>
      </w:r>
    </w:p>
    <w:p>
      <w:pPr>
        <w:spacing w:before="280" w:after="80"/>
        <w:pBdr>
          <w:bottom w:val="single" w:sz="6" w:space="4" w:color="E6EFE9"/>
        </w:pBdr>
      </w:pPr>
      <w:r>
        <w:rPr>
          <w:b/>
          <w:color w:val="149157"/>
          <w:sz w:val="26"/>
        </w:rPr>
        <w:t xml:space="preserve">4.  </w:t>
      </w:r>
      <w:r>
        <w:rPr>
          <w:b/>
          <w:color w:val="0C0F0D"/>
          <w:sz w:val="26"/>
        </w:rPr>
        <w:t>FX risk policy</w:t>
      </w:r>
    </w:p>
    <w:p>
      <w:r>
        <w:t>The objective is to reduce earnings volatility from currency movement, not to profit from it. Speculation is prohibited.</w:t>
      </w:r>
    </w:p>
    <w:tbl>
      <w:tblPr>
        <w:tblStyle w:val="TableGrid"/>
        <w:tblW w:type="auto" w:w="0"/>
        <w:jc w:val="left"/>
        <w:tblLook w:firstColumn="1" w:firstRow="1" w:lastColumn="0" w:lastRow="0" w:noHBand="0" w:noVBand="1" w:val="04A0"/>
      </w:tblPr>
      <w:tblGrid>
        <w:gridCol w:w="4320"/>
        <w:gridCol w:w="4320"/>
      </w:tblGrid>
      <w:tr>
        <w:tc>
          <w:tcPr>
            <w:tcW w:type="dxa" w:w="2880"/>
            <w:shd w:val="clear" w:fill="E3F4EA"/>
          </w:tcPr>
          <w:p>
            <w:r/>
            <w:r>
              <w:rPr>
                <w:rFonts w:ascii="Geist" w:hAnsi="Geist"/>
                <w:b/>
                <w:color w:val="0C0F0D"/>
                <w:sz w:val="18"/>
              </w:rPr>
              <w:t>Parameter</w:t>
            </w:r>
          </w:p>
        </w:tc>
        <w:tc>
          <w:tcPr>
            <w:tcW w:type="dxa" w:w="6480"/>
            <w:shd w:val="clear" w:fill="E3F4EA"/>
          </w:tcPr>
          <w:p>
            <w:r/>
            <w:r>
              <w:rPr>
                <w:rFonts w:ascii="Geist" w:hAnsi="Geist"/>
                <w:b/>
                <w:color w:val="0C0F0D"/>
                <w:sz w:val="18"/>
              </w:rPr>
              <w:t>Policy</w:t>
            </w:r>
          </w:p>
        </w:tc>
      </w:tr>
      <w:tr>
        <w:tc>
          <w:tcPr>
            <w:tcW w:type="dxa" w:w="2880"/>
          </w:tcPr>
          <w:p>
            <w:r/>
            <w:r>
              <w:rPr>
                <w:rFonts w:ascii="Geist" w:hAnsi="Geist"/>
                <w:b w:val="0"/>
                <w:color w:val="0C0F0D"/>
                <w:sz w:val="18"/>
              </w:rPr>
              <w:t>Hedge ratio</w:t>
            </w:r>
          </w:p>
        </w:tc>
        <w:tc>
          <w:tcPr>
            <w:tcW w:type="dxa" w:w="6480"/>
          </w:tcPr>
          <w:p>
            <w:r/>
            <w:r>
              <w:rPr>
                <w:rFonts w:ascii="Geist" w:hAnsi="Geist"/>
                <w:b w:val="0"/>
                <w:color w:val="0C0F0D"/>
                <w:sz w:val="18"/>
              </w:rPr>
              <w:t>50%–100% of rolling 12-month forecast exposure</w:t>
            </w:r>
          </w:p>
        </w:tc>
      </w:tr>
      <w:tr>
        <w:tc>
          <w:tcPr>
            <w:tcW w:type="dxa" w:w="2880"/>
            <w:shd w:val="clear" w:fill="F4FAF6"/>
          </w:tcPr>
          <w:p>
            <w:r/>
            <w:r>
              <w:rPr>
                <w:rFonts w:ascii="Geist" w:hAnsi="Geist"/>
                <w:b w:val="0"/>
                <w:color w:val="0C0F0D"/>
                <w:sz w:val="18"/>
              </w:rPr>
              <w:t>Approved instruments</w:t>
            </w:r>
          </w:p>
        </w:tc>
        <w:tc>
          <w:tcPr>
            <w:tcW w:type="dxa" w:w="6480"/>
            <w:shd w:val="clear" w:fill="F4FAF6"/>
          </w:tcPr>
          <w:p>
            <w:r/>
            <w:r>
              <w:rPr>
                <w:rFonts w:ascii="Geist" w:hAnsi="Geist"/>
                <w:b w:val="0"/>
                <w:color w:val="0C0F0D"/>
                <w:sz w:val="18"/>
              </w:rPr>
              <w:t>FX forwards and vanilla options</w:t>
            </w:r>
          </w:p>
        </w:tc>
      </w:tr>
      <w:tr>
        <w:tc>
          <w:tcPr>
            <w:tcW w:type="dxa" w:w="2880"/>
          </w:tcPr>
          <w:p>
            <w:r/>
            <w:r>
              <w:rPr>
                <w:rFonts w:ascii="Geist" w:hAnsi="Geist"/>
                <w:b w:val="0"/>
                <w:color w:val="0C0F0D"/>
                <w:sz w:val="18"/>
              </w:rPr>
              <w:t>Prohibited</w:t>
            </w:r>
          </w:p>
        </w:tc>
        <w:tc>
          <w:tcPr>
            <w:tcW w:type="dxa" w:w="6480"/>
          </w:tcPr>
          <w:p>
            <w:r/>
            <w:r>
              <w:rPr>
                <w:rFonts w:ascii="Geist" w:hAnsi="Geist"/>
                <w:b w:val="0"/>
                <w:color w:val="0C0F0D"/>
                <w:sz w:val="18"/>
              </w:rPr>
              <w:t>Speculative positions, leveraged or exotic derivatives</w:t>
            </w:r>
          </w:p>
        </w:tc>
      </w:tr>
      <w:tr>
        <w:tc>
          <w:tcPr>
            <w:tcW w:type="dxa" w:w="2880"/>
            <w:shd w:val="clear" w:fill="F4FAF6"/>
          </w:tcPr>
          <w:p>
            <w:r/>
            <w:r>
              <w:rPr>
                <w:rFonts w:ascii="Geist" w:hAnsi="Geist"/>
                <w:b w:val="0"/>
                <w:color w:val="0C0F0D"/>
                <w:sz w:val="18"/>
              </w:rPr>
              <w:t>Tenor</w:t>
            </w:r>
          </w:p>
        </w:tc>
        <w:tc>
          <w:tcPr>
            <w:tcW w:type="dxa" w:w="6480"/>
            <w:shd w:val="clear" w:fill="F4FAF6"/>
          </w:tcPr>
          <w:p>
            <w:r/>
            <w:r>
              <w:rPr>
                <w:rFonts w:ascii="Geist" w:hAnsi="Geist"/>
                <w:b w:val="0"/>
                <w:color w:val="0C0F0D"/>
                <w:sz w:val="18"/>
              </w:rPr>
              <w:t>No hedge beyond 18 months without CFO approval</w:t>
            </w:r>
          </w:p>
        </w:tc>
      </w:tr>
      <w:tr>
        <w:tc>
          <w:tcPr>
            <w:tcW w:type="dxa" w:w="2880"/>
          </w:tcPr>
          <w:p>
            <w:r/>
            <w:r>
              <w:rPr>
                <w:rFonts w:ascii="Geist" w:hAnsi="Geist"/>
                <w:b w:val="0"/>
                <w:color w:val="0C0F0D"/>
                <w:sz w:val="18"/>
              </w:rPr>
              <w:t>Currencies in scope</w:t>
            </w:r>
          </w:p>
        </w:tc>
        <w:tc>
          <w:tcPr>
            <w:tcW w:type="dxa" w:w="6480"/>
          </w:tcPr>
          <w:p>
            <w:r/>
            <w:r>
              <w:rPr>
                <w:rFonts w:ascii="Geist" w:hAnsi="Geist"/>
                <w:b w:val="0"/>
                <w:color w:val="0C0F0D"/>
                <w:sz w:val="18"/>
              </w:rPr>
              <w:t>EUR, GBP, SGD, BRL, INR</w:t>
            </w:r>
          </w:p>
        </w:tc>
      </w:tr>
    </w:tbl>
    <w:p>
      <w:pPr>
        <w:spacing w:before="280" w:after="80"/>
        <w:pBdr>
          <w:bottom w:val="single" w:sz="6" w:space="4" w:color="E6EFE9"/>
        </w:pBdr>
      </w:pPr>
      <w:r>
        <w:rPr>
          <w:b/>
          <w:color w:val="149157"/>
          <w:sz w:val="26"/>
        </w:rPr>
        <w:t xml:space="preserve">5.  </w:t>
      </w:r>
      <w:r>
        <w:rPr>
          <w:b/>
          <w:color w:val="0C0F0D"/>
          <w:sz w:val="26"/>
        </w:rPr>
        <w:t>Investment policy reference</w:t>
      </w:r>
    </w:p>
    <w:p>
      <w:r>
        <w:t>Short-term investment of cash is governed by the Investment Policy Statement (IPS v4.2, board-approved 2026-01-15). In summary: preservation of capital first, then liquidity, then yield; minimum A-1/P-1 credit; at least 60% in US government or Treasury obligations; weighted-average maturity not to exceed 60 days. Refer to the IPS for the complete eligible-investment list and concentration limits.</w:t>
      </w:r>
    </w:p>
    <w:p>
      <w:pPr>
        <w:spacing w:before="280" w:after="80"/>
        <w:pBdr>
          <w:bottom w:val="single" w:sz="6" w:space="4" w:color="E6EFE9"/>
        </w:pBdr>
      </w:pPr>
      <w:r>
        <w:rPr>
          <w:b/>
          <w:color w:val="149157"/>
          <w:sz w:val="26"/>
        </w:rPr>
        <w:t xml:space="preserve">6.  </w:t>
      </w:r>
      <w:r>
        <w:rPr>
          <w:b/>
          <w:color w:val="0C0F0D"/>
          <w:sz w:val="26"/>
        </w:rPr>
        <w:t>Counterparty limits</w:t>
      </w:r>
    </w:p>
    <w:tbl>
      <w:tblPr>
        <w:tblStyle w:val="TableGrid"/>
        <w:tblW w:type="auto" w:w="0"/>
        <w:jc w:val="left"/>
        <w:tblLook w:firstColumn="1" w:firstRow="1" w:lastColumn="0" w:lastRow="0" w:noHBand="0" w:noVBand="1" w:val="04A0"/>
      </w:tblPr>
      <w:tblGrid>
        <w:gridCol w:w="4320"/>
        <w:gridCol w:w="4320"/>
      </w:tblGrid>
      <w:tr>
        <w:tc>
          <w:tcPr>
            <w:tcW w:type="dxa" w:w="6048"/>
            <w:shd w:val="clear" w:fill="E3F4EA"/>
          </w:tcPr>
          <w:p>
            <w:r/>
            <w:r>
              <w:rPr>
                <w:rFonts w:ascii="Geist" w:hAnsi="Geist"/>
                <w:b/>
                <w:color w:val="0C0F0D"/>
                <w:sz w:val="18"/>
              </w:rPr>
              <w:t>Limit</w:t>
            </w:r>
          </w:p>
        </w:tc>
        <w:tc>
          <w:tcPr>
            <w:tcW w:type="dxa" w:w="3312"/>
            <w:shd w:val="clear" w:fill="E3F4EA"/>
          </w:tcPr>
          <w:p>
            <w:r/>
            <w:r>
              <w:rPr>
                <w:rFonts w:ascii="Geist" w:hAnsi="Geist"/>
                <w:b/>
                <w:color w:val="0C0F0D"/>
                <w:sz w:val="18"/>
              </w:rPr>
              <w:t>Threshold</w:t>
            </w:r>
          </w:p>
        </w:tc>
      </w:tr>
      <w:tr>
        <w:tc>
          <w:tcPr>
            <w:tcW w:type="dxa" w:w="6048"/>
          </w:tcPr>
          <w:p>
            <w:r/>
            <w:r>
              <w:rPr>
                <w:rFonts w:ascii="Geist" w:hAnsi="Geist"/>
                <w:b w:val="0"/>
                <w:color w:val="0C0F0D"/>
                <w:sz w:val="18"/>
              </w:rPr>
              <w:t>Maximum exposure to any single bank</w:t>
            </w:r>
          </w:p>
        </w:tc>
        <w:tc>
          <w:tcPr>
            <w:tcW w:type="dxa" w:w="3312"/>
          </w:tcPr>
          <w:p>
            <w:r/>
            <w:r>
              <w:rPr>
                <w:rFonts w:ascii="Geist" w:hAnsi="Geist"/>
                <w:b w:val="0"/>
                <w:color w:val="0C0F0D"/>
                <w:sz w:val="18"/>
              </w:rPr>
              <w:t>35% of group cash</w:t>
            </w:r>
          </w:p>
        </w:tc>
      </w:tr>
      <w:tr>
        <w:tc>
          <w:tcPr>
            <w:tcW w:type="dxa" w:w="6048"/>
            <w:shd w:val="clear" w:fill="F4FAF6"/>
          </w:tcPr>
          <w:p>
            <w:r/>
            <w:r>
              <w:rPr>
                <w:rFonts w:ascii="Geist" w:hAnsi="Geist"/>
                <w:b w:val="0"/>
                <w:color w:val="0C0F0D"/>
                <w:sz w:val="18"/>
              </w:rPr>
              <w:t>Maximum in any single money market fund</w:t>
            </w:r>
          </w:p>
        </w:tc>
        <w:tc>
          <w:tcPr>
            <w:tcW w:type="dxa" w:w="3312"/>
            <w:shd w:val="clear" w:fill="F4FAF6"/>
          </w:tcPr>
          <w:p>
            <w:r/>
            <w:r>
              <w:rPr>
                <w:rFonts w:ascii="Geist" w:hAnsi="Geist"/>
                <w:b w:val="0"/>
                <w:color w:val="0C0F0D"/>
                <w:sz w:val="18"/>
              </w:rPr>
              <w:t>30% of group cash</w:t>
            </w:r>
          </w:p>
        </w:tc>
      </w:tr>
      <w:tr>
        <w:tc>
          <w:tcPr>
            <w:tcW w:type="dxa" w:w="6048"/>
          </w:tcPr>
          <w:p>
            <w:r/>
            <w:r>
              <w:rPr>
                <w:rFonts w:ascii="Geist" w:hAnsi="Geist"/>
                <w:b w:val="0"/>
                <w:color w:val="0C0F0D"/>
                <w:sz w:val="18"/>
              </w:rPr>
              <w:t>Minimum short-term rating for any counterparty</w:t>
            </w:r>
          </w:p>
        </w:tc>
        <w:tc>
          <w:tcPr>
            <w:tcW w:type="dxa" w:w="3312"/>
          </w:tcPr>
          <w:p>
            <w:r/>
            <w:r>
              <w:rPr>
                <w:rFonts w:ascii="Geist" w:hAnsi="Geist"/>
                <w:b w:val="0"/>
                <w:color w:val="0C0F0D"/>
                <w:sz w:val="18"/>
              </w:rPr>
              <w:t>A-1 / P-1</w:t>
            </w:r>
          </w:p>
        </w:tc>
      </w:tr>
      <w:tr>
        <w:tc>
          <w:tcPr>
            <w:tcW w:type="dxa" w:w="6048"/>
            <w:shd w:val="clear" w:fill="F4FAF6"/>
          </w:tcPr>
          <w:p>
            <w:r/>
            <w:r>
              <w:rPr>
                <w:rFonts w:ascii="Geist" w:hAnsi="Geist"/>
                <w:b w:val="0"/>
                <w:color w:val="0C0F0D"/>
                <w:sz w:val="18"/>
              </w:rPr>
              <w:t>Review of approved counterparty list</w:t>
            </w:r>
          </w:p>
        </w:tc>
        <w:tc>
          <w:tcPr>
            <w:tcW w:type="dxa" w:w="3312"/>
            <w:shd w:val="clear" w:fill="F4FAF6"/>
          </w:tcPr>
          <w:p>
            <w:r/>
            <w:r>
              <w:rPr>
                <w:rFonts w:ascii="Geist" w:hAnsi="Geist"/>
                <w:b w:val="0"/>
                <w:color w:val="0C0F0D"/>
                <w:sz w:val="18"/>
              </w:rPr>
              <w:t>Quarterly</w:t>
            </w:r>
          </w:p>
        </w:tc>
      </w:tr>
    </w:tbl>
    <w:p>
      <w:pPr>
        <w:spacing w:before="280" w:after="80"/>
        <w:pBdr>
          <w:bottom w:val="single" w:sz="6" w:space="4" w:color="E6EFE9"/>
        </w:pBdr>
      </w:pPr>
      <w:r>
        <w:rPr>
          <w:b/>
          <w:color w:val="149157"/>
          <w:sz w:val="26"/>
        </w:rPr>
        <w:t xml:space="preserve">7.  </w:t>
      </w:r>
      <w:r>
        <w:rPr>
          <w:b/>
          <w:color w:val="0C0F0D"/>
          <w:sz w:val="26"/>
        </w:rPr>
        <w:t>Bank account management &amp; SOX controls</w:t>
      </w:r>
    </w:p>
    <w:p>
      <w:pPr>
        <w:pStyle w:val="ListBullet"/>
      </w:pPr>
      <w:r>
        <w:rPr>
          <w:sz w:val="20"/>
        </w:rPr>
        <w:t>A complete bank account inventory (entity, bank, account, signers, purpose) is maintained and reconciled quarterly.</w:t>
      </w:r>
    </w:p>
    <w:p>
      <w:pPr>
        <w:pStyle w:val="ListBullet"/>
      </w:pPr>
      <w:r>
        <w:rPr>
          <w:sz w:val="20"/>
        </w:rPr>
        <w:t>Signer changes follow a documented add/remove workflow with CFO approval and are reflected with the bank within 5 business days.</w:t>
      </w:r>
    </w:p>
    <w:p>
      <w:pPr>
        <w:pStyle w:val="ListBullet"/>
      </w:pPr>
      <w:r>
        <w:rPr>
          <w:sz w:val="20"/>
        </w:rPr>
        <w:t>Segregation of duties: account administration, payment initiation, and reconciliation are performed by different individuals.</w:t>
      </w:r>
    </w:p>
    <w:p>
      <w:pPr>
        <w:pStyle w:val="ListBullet"/>
      </w:pPr>
      <w:r>
        <w:rPr>
          <w:sz w:val="20"/>
        </w:rPr>
        <w:t>Controls are tested annually as part of the SOX 404 program; evidence is retained for 7 years.</w:t>
      </w:r>
    </w:p>
    <w:p>
      <w:pPr>
        <w:spacing w:before="280" w:after="80"/>
        <w:pBdr>
          <w:bottom w:val="single" w:sz="6" w:space="4" w:color="E6EFE9"/>
        </w:pBdr>
      </w:pPr>
      <w:r>
        <w:rPr>
          <w:b/>
          <w:color w:val="149157"/>
          <w:sz w:val="26"/>
        </w:rPr>
        <w:t xml:space="preserve">8.  </w:t>
      </w:r>
      <w:r>
        <w:rPr>
          <w:b/>
          <w:color w:val="0C0F0D"/>
          <w:sz w:val="26"/>
        </w:rPr>
        <w:t>Business continuity / backup signers</w:t>
      </w:r>
    </w:p>
    <w:p>
      <w:pPr>
        <w:pStyle w:val="ListBullet"/>
      </w:pPr>
      <w:r>
        <w:rPr>
          <w:sz w:val="20"/>
        </w:rPr>
        <w:t>Each critical banking and payment system has at least two trained backup operators.</w:t>
      </w:r>
    </w:p>
    <w:p>
      <w:pPr>
        <w:pStyle w:val="ListBullet"/>
      </w:pPr>
      <w:r>
        <w:rPr>
          <w:sz w:val="20"/>
        </w:rPr>
        <w:t>A documented list of backup signers is maintained at every bank; backups are exercised twice yearly.</w:t>
      </w:r>
    </w:p>
    <w:p>
      <w:pPr>
        <w:pStyle w:val="ListBullet"/>
      </w:pPr>
      <w:r>
        <w:rPr>
          <w:sz w:val="20"/>
        </w:rPr>
        <w:t>In a banking outage, the manual payment runbook authorizes Treasurer-approved wires by phone with dual verbal confirmation.</w:t>
      </w:r>
    </w:p>
    <w:p>
      <w:pPr>
        <w:spacing w:before="280" w:after="80"/>
        <w:pBdr>
          <w:bottom w:val="single" w:sz="6" w:space="4" w:color="E6EFE9"/>
        </w:pBdr>
      </w:pPr>
      <w:r>
        <w:rPr>
          <w:b/>
          <w:color w:val="149157"/>
          <w:sz w:val="26"/>
        </w:rPr>
        <w:t xml:space="preserve">9.  </w:t>
      </w:r>
      <w:r>
        <w:rPr>
          <w:b/>
          <w:color w:val="0C0F0D"/>
          <w:sz w:val="26"/>
        </w:rPr>
        <w:t>Forecast cadence</w:t>
      </w:r>
    </w:p>
    <w:tbl>
      <w:tblPr>
        <w:tblStyle w:val="TableGrid"/>
        <w:tblW w:type="auto" w:w="0"/>
        <w:jc w:val="left"/>
        <w:tblLook w:firstColumn="1" w:firstRow="1" w:lastColumn="0" w:lastRow="0" w:noHBand="0" w:noVBand="1" w:val="04A0"/>
      </w:tblPr>
      <w:tblGrid>
        <w:gridCol w:w="2880"/>
        <w:gridCol w:w="2880"/>
        <w:gridCol w:w="2880"/>
      </w:tblGrid>
      <w:tr>
        <w:tc>
          <w:tcPr>
            <w:tcW w:type="dxa" w:w="4320"/>
            <w:shd w:val="clear" w:fill="E3F4EA"/>
          </w:tcPr>
          <w:p>
            <w:r/>
            <w:r>
              <w:rPr>
                <w:rFonts w:ascii="Geist" w:hAnsi="Geist"/>
                <w:b/>
                <w:color w:val="0C0F0D"/>
                <w:sz w:val="18"/>
              </w:rPr>
              <w:t>Forecast</w:t>
            </w:r>
          </w:p>
        </w:tc>
        <w:tc>
          <w:tcPr>
            <w:tcW w:type="dxa" w:w="3168"/>
            <w:shd w:val="clear" w:fill="E3F4EA"/>
          </w:tcPr>
          <w:p>
            <w:r/>
            <w:r>
              <w:rPr>
                <w:rFonts w:ascii="Geist" w:hAnsi="Geist"/>
                <w:b/>
                <w:color w:val="0C0F0D"/>
                <w:sz w:val="18"/>
              </w:rPr>
              <w:t>Frequency</w:t>
            </w:r>
          </w:p>
        </w:tc>
        <w:tc>
          <w:tcPr>
            <w:tcW w:type="dxa" w:w="1872"/>
            <w:shd w:val="clear" w:fill="E3F4EA"/>
          </w:tcPr>
          <w:p>
            <w:r/>
            <w:r>
              <w:rPr>
                <w:rFonts w:ascii="Geist" w:hAnsi="Geist"/>
                <w:b/>
                <w:color w:val="0C0F0D"/>
                <w:sz w:val="18"/>
              </w:rPr>
              <w:t>Owner</w:t>
            </w:r>
          </w:p>
        </w:tc>
      </w:tr>
      <w:tr>
        <w:tc>
          <w:tcPr>
            <w:tcW w:type="dxa" w:w="4320"/>
          </w:tcPr>
          <w:p>
            <w:r/>
            <w:r>
              <w:rPr>
                <w:rFonts w:ascii="Geist" w:hAnsi="Geist"/>
                <w:b w:val="0"/>
                <w:color w:val="0C0F0D"/>
                <w:sz w:val="18"/>
              </w:rPr>
              <w:t>13-week direct cash forecast</w:t>
            </w:r>
          </w:p>
        </w:tc>
        <w:tc>
          <w:tcPr>
            <w:tcW w:type="dxa" w:w="3168"/>
          </w:tcPr>
          <w:p>
            <w:r/>
            <w:r>
              <w:rPr>
                <w:rFonts w:ascii="Geist" w:hAnsi="Geist"/>
                <w:b w:val="0"/>
                <w:color w:val="0C0F0D"/>
                <w:sz w:val="18"/>
              </w:rPr>
              <w:t>Weekly (Monday)</w:t>
            </w:r>
          </w:p>
        </w:tc>
        <w:tc>
          <w:tcPr>
            <w:tcW w:type="dxa" w:w="1872"/>
          </w:tcPr>
          <w:p>
            <w:r/>
            <w:r>
              <w:rPr>
                <w:rFonts w:ascii="Geist" w:hAnsi="Geist"/>
                <w:b w:val="0"/>
                <w:color w:val="0C0F0D"/>
                <w:sz w:val="18"/>
              </w:rPr>
              <w:t>Treasury Manager</w:t>
            </w:r>
          </w:p>
        </w:tc>
      </w:tr>
      <w:tr>
        <w:tc>
          <w:tcPr>
            <w:tcW w:type="dxa" w:w="4320"/>
            <w:shd w:val="clear" w:fill="F4FAF6"/>
          </w:tcPr>
          <w:p>
            <w:r/>
            <w:r>
              <w:rPr>
                <w:rFonts w:ascii="Geist" w:hAnsi="Geist"/>
                <w:b w:val="0"/>
                <w:color w:val="0C0F0D"/>
                <w:sz w:val="18"/>
              </w:rPr>
              <w:t>Daily position</w:t>
            </w:r>
          </w:p>
        </w:tc>
        <w:tc>
          <w:tcPr>
            <w:tcW w:type="dxa" w:w="3168"/>
            <w:shd w:val="clear" w:fill="F4FAF6"/>
          </w:tcPr>
          <w:p>
            <w:r/>
            <w:r>
              <w:rPr>
                <w:rFonts w:ascii="Geist" w:hAnsi="Geist"/>
                <w:b w:val="0"/>
                <w:color w:val="0C0F0D"/>
                <w:sz w:val="18"/>
              </w:rPr>
              <w:t>Daily (09:00 ET)</w:t>
            </w:r>
          </w:p>
        </w:tc>
        <w:tc>
          <w:tcPr>
            <w:tcW w:type="dxa" w:w="1872"/>
            <w:shd w:val="clear" w:fill="F4FAF6"/>
          </w:tcPr>
          <w:p>
            <w:r/>
            <w:r>
              <w:rPr>
                <w:rFonts w:ascii="Geist" w:hAnsi="Geist"/>
                <w:b w:val="0"/>
                <w:color w:val="0C0F0D"/>
                <w:sz w:val="18"/>
              </w:rPr>
              <w:t>Cash Manager</w:t>
            </w:r>
          </w:p>
        </w:tc>
      </w:tr>
      <w:tr>
        <w:tc>
          <w:tcPr>
            <w:tcW w:type="dxa" w:w="4320"/>
          </w:tcPr>
          <w:p>
            <w:r/>
            <w:r>
              <w:rPr>
                <w:rFonts w:ascii="Geist" w:hAnsi="Geist"/>
                <w:b w:val="0"/>
                <w:color w:val="0C0F0D"/>
                <w:sz w:val="18"/>
              </w:rPr>
              <w:t>Annual cash budget</w:t>
            </w:r>
          </w:p>
        </w:tc>
        <w:tc>
          <w:tcPr>
            <w:tcW w:type="dxa" w:w="3168"/>
          </w:tcPr>
          <w:p>
            <w:r/>
            <w:r>
              <w:rPr>
                <w:rFonts w:ascii="Geist" w:hAnsi="Geist"/>
                <w:b w:val="0"/>
                <w:color w:val="0C0F0D"/>
                <w:sz w:val="18"/>
              </w:rPr>
              <w:t>Annual, refreshed quarterly</w:t>
            </w:r>
          </w:p>
        </w:tc>
        <w:tc>
          <w:tcPr>
            <w:tcW w:type="dxa" w:w="1872"/>
          </w:tcPr>
          <w:p>
            <w:r/>
            <w:r>
              <w:rPr>
                <w:rFonts w:ascii="Geist" w:hAnsi="Geist"/>
                <w:b w:val="0"/>
                <w:color w:val="0C0F0D"/>
                <w:sz w:val="18"/>
              </w:rPr>
              <w:t>Group Treasurer</w:t>
            </w:r>
          </w:p>
        </w:tc>
      </w:tr>
      <w:tr>
        <w:tc>
          <w:tcPr>
            <w:tcW w:type="dxa" w:w="4320"/>
            <w:shd w:val="clear" w:fill="F4FAF6"/>
          </w:tcPr>
          <w:p>
            <w:r/>
            <w:r>
              <w:rPr>
                <w:rFonts w:ascii="Geist" w:hAnsi="Geist"/>
                <w:b w:val="0"/>
                <w:color w:val="0C0F0D"/>
                <w:sz w:val="18"/>
              </w:rPr>
              <w:t>FX exposure forecast</w:t>
            </w:r>
          </w:p>
        </w:tc>
        <w:tc>
          <w:tcPr>
            <w:tcW w:type="dxa" w:w="3168"/>
            <w:shd w:val="clear" w:fill="F4FAF6"/>
          </w:tcPr>
          <w:p>
            <w:r/>
            <w:r>
              <w:rPr>
                <w:rFonts w:ascii="Geist" w:hAnsi="Geist"/>
                <w:b w:val="0"/>
                <w:color w:val="0C0F0D"/>
                <w:sz w:val="18"/>
              </w:rPr>
              <w:t>Monthly</w:t>
            </w:r>
          </w:p>
        </w:tc>
        <w:tc>
          <w:tcPr>
            <w:tcW w:type="dxa" w:w="1872"/>
            <w:shd w:val="clear" w:fill="F4FAF6"/>
          </w:tcPr>
          <w:p>
            <w:r/>
            <w:r>
              <w:rPr>
                <w:rFonts w:ascii="Geist" w:hAnsi="Geist"/>
                <w:b w:val="0"/>
                <w:color w:val="0C0F0D"/>
                <w:sz w:val="18"/>
              </w:rPr>
              <w:t>Risk &amp; FX Manager</w:t>
            </w:r>
          </w:p>
        </w:tc>
      </w:tr>
    </w:tbl>
    <w:p/>
    <w:p>
      <w:pPr>
        <w:jc w:val="center"/>
      </w:pPr>
      <w:r>
        <w:rPr>
          <w:color w:val="5B6660"/>
          <w:sz w:val="16"/>
        </w:rPr>
        <w:t>Cobalt Treasury — Treasury Policy &amp; Procedures Handbook v7.1 · Owner Maya Okonkwo · Last reviewed 2026-04-30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Geist" w:hAnsi="Geist"/>
      <w:color w:val="0C0F0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