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833"/>
        <w:tblW w:w="10231" w:type="dxa"/>
        <w:tblLayout w:type="fixed"/>
        <w:tblLook w:val="0000" w:firstRow="0" w:lastRow="0" w:firstColumn="0" w:lastColumn="0" w:noHBand="0" w:noVBand="0"/>
      </w:tblPr>
      <w:tblGrid>
        <w:gridCol w:w="1800"/>
        <w:gridCol w:w="4037"/>
        <w:gridCol w:w="4394"/>
      </w:tblGrid>
      <w:tr w:rsidR="009756D8" w:rsidRPr="004F5212" w:rsidTr="009756D8">
        <w:tc>
          <w:tcPr>
            <w:tcW w:w="1800" w:type="dxa"/>
          </w:tcPr>
          <w:p w:rsidR="009756D8" w:rsidRPr="004F5212" w:rsidRDefault="009756D8" w:rsidP="009756D8">
            <w:pPr>
              <w:jc w:val="center"/>
              <w:rPr>
                <w:b/>
                <w:color w:val="0000FF"/>
              </w:rPr>
            </w:pPr>
            <w:r w:rsidRPr="004F5212">
              <w:object w:dxaOrig="4500"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34.9pt" o:ole="">
                  <v:imagedata r:id="rId8" o:title=""/>
                </v:shape>
                <o:OLEObject Type="Embed" ProgID="PBrush" ShapeID="_x0000_i1025" DrawAspect="Content" ObjectID="_1555681046" r:id="rId9"/>
              </w:object>
            </w:r>
          </w:p>
        </w:tc>
        <w:tc>
          <w:tcPr>
            <w:tcW w:w="4037" w:type="dxa"/>
          </w:tcPr>
          <w:p w:rsidR="009756D8" w:rsidRPr="004F5212" w:rsidRDefault="009756D8" w:rsidP="009756D8">
            <w:pPr>
              <w:spacing w:before="120"/>
              <w:jc w:val="center"/>
              <w:rPr>
                <w:b/>
              </w:rPr>
            </w:pPr>
            <w:r w:rsidRPr="004F5212">
              <w:rPr>
                <w:b/>
              </w:rPr>
              <w:t>NH ĐẦU TƯ VÀ PHÁT TRIỂN CAMPUCHIA (BIDC)</w:t>
            </w:r>
          </w:p>
          <w:p w:rsidR="009756D8" w:rsidRPr="004F5212" w:rsidRDefault="009756D8" w:rsidP="009756D8">
            <w:pPr>
              <w:jc w:val="center"/>
            </w:pPr>
            <w:r w:rsidRPr="004F5212">
              <w:t>-----o0o-----</w:t>
            </w:r>
          </w:p>
          <w:p w:rsidR="009756D8" w:rsidRPr="004F5212" w:rsidRDefault="009756D8" w:rsidP="009756D8">
            <w:pPr>
              <w:jc w:val="center"/>
              <w:rPr>
                <w:b/>
                <w:color w:val="FF0000"/>
              </w:rPr>
            </w:pPr>
          </w:p>
        </w:tc>
        <w:tc>
          <w:tcPr>
            <w:tcW w:w="4394" w:type="dxa"/>
          </w:tcPr>
          <w:p w:rsidR="009756D8" w:rsidRPr="004F5212" w:rsidRDefault="009756D8" w:rsidP="009756D8">
            <w:pPr>
              <w:pStyle w:val="Caption"/>
              <w:spacing w:before="120"/>
              <w:jc w:val="center"/>
              <w:rPr>
                <w:rFonts w:ascii="Times New Roman" w:hAnsi="Times New Roman"/>
                <w:b/>
                <w:i w:val="0"/>
                <w:szCs w:val="24"/>
              </w:rPr>
            </w:pPr>
            <w:r w:rsidRPr="004F5212">
              <w:rPr>
                <w:rFonts w:ascii="Times New Roman" w:hAnsi="Times New Roman"/>
                <w:b/>
                <w:i w:val="0"/>
                <w:szCs w:val="24"/>
              </w:rPr>
              <w:t>VƯƠNG QUỐC CAMPUCHIA</w:t>
            </w:r>
          </w:p>
          <w:p w:rsidR="009756D8" w:rsidRPr="004F5212" w:rsidRDefault="009756D8" w:rsidP="009756D8">
            <w:pPr>
              <w:jc w:val="center"/>
              <w:rPr>
                <w:b/>
              </w:rPr>
            </w:pPr>
            <w:r w:rsidRPr="004F5212">
              <w:rPr>
                <w:b/>
              </w:rPr>
              <w:t>Dân tộc – Tôn Giáo – Quốc Vương</w:t>
            </w:r>
          </w:p>
          <w:p w:rsidR="009756D8" w:rsidRPr="004F5212" w:rsidRDefault="009756D8" w:rsidP="009756D8">
            <w:pPr>
              <w:jc w:val="center"/>
              <w:rPr>
                <w:i/>
              </w:rPr>
            </w:pPr>
            <w:r w:rsidRPr="004F5212">
              <w:t>-----o0o-----</w:t>
            </w:r>
            <w:r w:rsidRPr="004F5212">
              <w:rPr>
                <w:i/>
              </w:rPr>
              <w:t xml:space="preserve"> </w:t>
            </w:r>
          </w:p>
          <w:p w:rsidR="009756D8" w:rsidRPr="004F5212" w:rsidRDefault="009756D8" w:rsidP="009756D8">
            <w:pPr>
              <w:spacing w:before="120"/>
              <w:jc w:val="right"/>
              <w:rPr>
                <w:i/>
              </w:rPr>
            </w:pPr>
            <w:r w:rsidRPr="004F5212">
              <w:rPr>
                <w:i/>
              </w:rPr>
              <w:t>Hà Nội, ngày 04 tháng 05 năm 2017</w:t>
            </w:r>
          </w:p>
        </w:tc>
      </w:tr>
    </w:tbl>
    <w:p w:rsidR="00565638" w:rsidRPr="004F5212" w:rsidRDefault="00565638" w:rsidP="000700C9">
      <w:pPr>
        <w:jc w:val="both"/>
      </w:pPr>
    </w:p>
    <w:p w:rsidR="00565638" w:rsidRPr="00262158" w:rsidRDefault="00565638" w:rsidP="001564F6">
      <w:pPr>
        <w:jc w:val="center"/>
        <w:rPr>
          <w:b/>
          <w:sz w:val="32"/>
          <w:szCs w:val="32"/>
        </w:rPr>
      </w:pPr>
      <w:r w:rsidRPr="00262158">
        <w:rPr>
          <w:b/>
          <w:sz w:val="32"/>
          <w:szCs w:val="32"/>
        </w:rPr>
        <w:t>BIÊN BẢN LÀM VIỆC</w:t>
      </w:r>
    </w:p>
    <w:p w:rsidR="007F3EBA" w:rsidRPr="0062228F" w:rsidRDefault="000607B5" w:rsidP="000607B5">
      <w:pPr>
        <w:ind w:right="29"/>
        <w:jc w:val="center"/>
        <w:rPr>
          <w:sz w:val="22"/>
          <w:szCs w:val="22"/>
        </w:rPr>
      </w:pPr>
      <w:r w:rsidRPr="0062228F">
        <w:rPr>
          <w:i/>
          <w:sz w:val="22"/>
          <w:szCs w:val="22"/>
        </w:rPr>
        <w:t>(</w:t>
      </w:r>
      <w:r w:rsidR="007F3EBA" w:rsidRPr="0062228F">
        <w:rPr>
          <w:i/>
          <w:sz w:val="22"/>
          <w:szCs w:val="22"/>
        </w:rPr>
        <w:t xml:space="preserve">v/v </w:t>
      </w:r>
      <w:r w:rsidR="007F3EBA" w:rsidRPr="0062228F">
        <w:rPr>
          <w:i/>
          <w:spacing w:val="-6"/>
          <w:sz w:val="22"/>
          <w:szCs w:val="22"/>
        </w:rPr>
        <w:t xml:space="preserve">Tham gia họp để xử lý các vấn đề liên quan đến </w:t>
      </w:r>
      <w:r w:rsidRPr="0062228F">
        <w:rPr>
          <w:i/>
          <w:spacing w:val="-6"/>
          <w:sz w:val="22"/>
          <w:szCs w:val="22"/>
        </w:rPr>
        <w:t>Khoản chi phí hỗ trợ</w:t>
      </w:r>
      <w:r w:rsidR="007F3EBA" w:rsidRPr="0062228F">
        <w:rPr>
          <w:i/>
          <w:spacing w:val="-6"/>
          <w:sz w:val="22"/>
          <w:szCs w:val="22"/>
        </w:rPr>
        <w:t xml:space="preserve"> của </w:t>
      </w:r>
      <w:r w:rsidRPr="0062228F">
        <w:rPr>
          <w:i/>
          <w:spacing w:val="-6"/>
          <w:sz w:val="22"/>
          <w:szCs w:val="22"/>
        </w:rPr>
        <w:t xml:space="preserve">Tecapro đối với </w:t>
      </w:r>
      <w:r w:rsidR="007F3EBA" w:rsidRPr="0062228F">
        <w:rPr>
          <w:i/>
          <w:spacing w:val="-6"/>
          <w:sz w:val="22"/>
          <w:szCs w:val="22"/>
        </w:rPr>
        <w:t>BIDC</w:t>
      </w:r>
      <w:r w:rsidRPr="0062228F">
        <w:rPr>
          <w:sz w:val="22"/>
          <w:szCs w:val="22"/>
        </w:rPr>
        <w:t>)</w:t>
      </w:r>
    </w:p>
    <w:p w:rsidR="006950AB" w:rsidRPr="004F5212" w:rsidRDefault="007B4394" w:rsidP="00562C1D">
      <w:pPr>
        <w:spacing w:before="120"/>
        <w:ind w:firstLine="709"/>
        <w:jc w:val="both"/>
      </w:pPr>
      <w:r w:rsidRPr="004F5212">
        <w:t>Hôm nay vào hồi</w:t>
      </w:r>
      <w:r w:rsidR="006950AB" w:rsidRPr="004F5212">
        <w:t xml:space="preserve"> 15</w:t>
      </w:r>
      <w:r w:rsidR="001573EB" w:rsidRPr="004F5212">
        <w:t>:</w:t>
      </w:r>
      <w:r w:rsidR="006950AB" w:rsidRPr="004F5212">
        <w:t>00</w:t>
      </w:r>
      <w:r w:rsidR="001573EB" w:rsidRPr="004F5212">
        <w:t xml:space="preserve"> </w:t>
      </w:r>
      <w:r w:rsidR="00DA1B60" w:rsidRPr="004F5212">
        <w:t xml:space="preserve">ngày </w:t>
      </w:r>
      <w:r w:rsidR="006950AB" w:rsidRPr="004F5212">
        <w:t>04</w:t>
      </w:r>
      <w:r w:rsidR="00295008" w:rsidRPr="004F5212">
        <w:t>/</w:t>
      </w:r>
      <w:r w:rsidR="00161A2F" w:rsidRPr="004F5212">
        <w:t>0</w:t>
      </w:r>
      <w:r w:rsidR="006950AB" w:rsidRPr="004F5212">
        <w:t>5</w:t>
      </w:r>
      <w:r w:rsidR="00F6075F" w:rsidRPr="004F5212">
        <w:t>/201</w:t>
      </w:r>
      <w:r w:rsidR="006950AB" w:rsidRPr="004F5212">
        <w:t>7</w:t>
      </w:r>
      <w:r w:rsidR="00C4576B" w:rsidRPr="004F5212">
        <w:t xml:space="preserve"> tại Trụ sở</w:t>
      </w:r>
      <w:r w:rsidR="00577EDA" w:rsidRPr="004F5212">
        <w:t xml:space="preserve"> chính</w:t>
      </w:r>
      <w:r w:rsidR="00C4576B" w:rsidRPr="004F5212">
        <w:t xml:space="preserve"> </w:t>
      </w:r>
      <w:r w:rsidR="00C4576B" w:rsidRPr="004928FF">
        <w:rPr>
          <w:b/>
        </w:rPr>
        <w:t>Ngân hàng</w:t>
      </w:r>
      <w:r w:rsidR="00577EDA" w:rsidRPr="004928FF">
        <w:rPr>
          <w:b/>
        </w:rPr>
        <w:t xml:space="preserve"> TMCP Đầu tư và</w:t>
      </w:r>
      <w:r w:rsidR="008E661D" w:rsidRPr="004928FF">
        <w:rPr>
          <w:b/>
        </w:rPr>
        <w:t xml:space="preserve"> Phát triển </w:t>
      </w:r>
      <w:r w:rsidR="00E85827" w:rsidRPr="004928FF">
        <w:rPr>
          <w:b/>
        </w:rPr>
        <w:t>Việt Nam</w:t>
      </w:r>
      <w:r w:rsidR="005350C9" w:rsidRPr="004928FF">
        <w:rPr>
          <w:b/>
        </w:rPr>
        <w:t xml:space="preserve"> (BIDV)</w:t>
      </w:r>
      <w:r w:rsidR="00C4576B" w:rsidRPr="004F5212">
        <w:t xml:space="preserve">, </w:t>
      </w:r>
      <w:r w:rsidR="00CE0496" w:rsidRPr="004F5212">
        <w:t xml:space="preserve">số </w:t>
      </w:r>
      <w:r w:rsidR="00A33319" w:rsidRPr="004F5212">
        <w:t>35</w:t>
      </w:r>
      <w:r w:rsidR="00C4576B" w:rsidRPr="004F5212">
        <w:t xml:space="preserve"> </w:t>
      </w:r>
      <w:r w:rsidR="00A33319" w:rsidRPr="004F5212">
        <w:t>Hàng Vôi, Quận Hoàn Kiếm, Hà Nội</w:t>
      </w:r>
      <w:r w:rsidR="00C4576B" w:rsidRPr="004F5212">
        <w:t xml:space="preserve"> </w:t>
      </w:r>
      <w:r w:rsidR="007D4780" w:rsidRPr="004F5212">
        <w:t xml:space="preserve">diễn ra cuộc họp giữa </w:t>
      </w:r>
      <w:r w:rsidR="007D4780" w:rsidRPr="004928FF">
        <w:rPr>
          <w:b/>
        </w:rPr>
        <w:t>Ngân hàng Đầu tư và Phát triển Campuchia</w:t>
      </w:r>
      <w:r w:rsidR="00BE5902" w:rsidRPr="004928FF">
        <w:rPr>
          <w:b/>
        </w:rPr>
        <w:t xml:space="preserve"> (BIDC)</w:t>
      </w:r>
      <w:r w:rsidR="00CE0496" w:rsidRPr="004F5212">
        <w:t xml:space="preserve">, </w:t>
      </w:r>
      <w:r w:rsidR="00C456E1" w:rsidRPr="004928FF">
        <w:rPr>
          <w:b/>
        </w:rPr>
        <w:t>BIDV</w:t>
      </w:r>
      <w:r w:rsidR="007D4780" w:rsidRPr="004F5212">
        <w:t xml:space="preserve"> và </w:t>
      </w:r>
      <w:r w:rsidR="00DC77C4" w:rsidRPr="004928FF">
        <w:rPr>
          <w:b/>
        </w:rPr>
        <w:t>C</w:t>
      </w:r>
      <w:r w:rsidR="00313AB1" w:rsidRPr="004928FF">
        <w:rPr>
          <w:b/>
        </w:rPr>
        <w:t>ông ty</w:t>
      </w:r>
      <w:r w:rsidR="00DC77C4" w:rsidRPr="004928FF">
        <w:rPr>
          <w:b/>
        </w:rPr>
        <w:t xml:space="preserve"> TNHH MTV Ứng dụng kỹ thuật và Sản xuất</w:t>
      </w:r>
      <w:r w:rsidR="00313AB1" w:rsidRPr="004928FF">
        <w:rPr>
          <w:b/>
        </w:rPr>
        <w:t xml:space="preserve"> </w:t>
      </w:r>
      <w:r w:rsidR="00DC77C4" w:rsidRPr="004928FF">
        <w:rPr>
          <w:b/>
        </w:rPr>
        <w:t>(</w:t>
      </w:r>
      <w:r w:rsidR="00313AB1" w:rsidRPr="004928FF">
        <w:rPr>
          <w:b/>
        </w:rPr>
        <w:t>Tecapro</w:t>
      </w:r>
      <w:r w:rsidR="00DC77C4" w:rsidRPr="004928FF">
        <w:rPr>
          <w:b/>
        </w:rPr>
        <w:t>)</w:t>
      </w:r>
      <w:r w:rsidR="006950AB" w:rsidRPr="004F5212">
        <w:t>.</w:t>
      </w:r>
    </w:p>
    <w:p w:rsidR="00C4576B" w:rsidRPr="004F5212" w:rsidRDefault="00F6075F" w:rsidP="000700C9">
      <w:pPr>
        <w:jc w:val="both"/>
        <w:rPr>
          <w:b/>
        </w:rPr>
      </w:pPr>
      <w:r w:rsidRPr="004F5212">
        <w:rPr>
          <w:b/>
        </w:rPr>
        <w:t xml:space="preserve">I. </w:t>
      </w:r>
      <w:r w:rsidR="00C4576B" w:rsidRPr="004F5212">
        <w:rPr>
          <w:b/>
        </w:rPr>
        <w:t>Thành phần:</w:t>
      </w:r>
    </w:p>
    <w:p w:rsidR="00F6075F" w:rsidRPr="004F5212" w:rsidRDefault="00F6075F" w:rsidP="009B0FB5">
      <w:pPr>
        <w:pStyle w:val="ListParagraph"/>
        <w:numPr>
          <w:ilvl w:val="0"/>
          <w:numId w:val="1"/>
        </w:numPr>
        <w:tabs>
          <w:tab w:val="left" w:pos="709"/>
        </w:tabs>
        <w:ind w:left="284" w:firstLine="0"/>
        <w:jc w:val="both"/>
        <w:rPr>
          <w:rFonts w:ascii="Times New Roman" w:hAnsi="Times New Roman" w:cs="Times New Roman"/>
          <w:b/>
          <w:sz w:val="24"/>
          <w:szCs w:val="24"/>
        </w:rPr>
      </w:pPr>
      <w:r w:rsidRPr="004F5212">
        <w:rPr>
          <w:rFonts w:ascii="Times New Roman" w:hAnsi="Times New Roman" w:cs="Times New Roman"/>
          <w:b/>
          <w:sz w:val="24"/>
          <w:szCs w:val="24"/>
        </w:rPr>
        <w:t>Ngân hàng</w:t>
      </w:r>
      <w:r w:rsidR="001224B0" w:rsidRPr="004F5212">
        <w:rPr>
          <w:rFonts w:ascii="Times New Roman" w:hAnsi="Times New Roman" w:cs="Times New Roman"/>
          <w:b/>
          <w:sz w:val="24"/>
          <w:szCs w:val="24"/>
        </w:rPr>
        <w:t xml:space="preserve"> TMCP</w:t>
      </w:r>
      <w:r w:rsidRPr="004F5212">
        <w:rPr>
          <w:rFonts w:ascii="Times New Roman" w:hAnsi="Times New Roman" w:cs="Times New Roman"/>
          <w:b/>
          <w:sz w:val="24"/>
          <w:szCs w:val="24"/>
        </w:rPr>
        <w:t xml:space="preserve"> ĐT&amp;PT Việt </w:t>
      </w:r>
      <w:r w:rsidR="00404F14" w:rsidRPr="004F5212">
        <w:rPr>
          <w:rFonts w:ascii="Times New Roman" w:hAnsi="Times New Roman" w:cs="Times New Roman"/>
          <w:b/>
          <w:sz w:val="24"/>
          <w:szCs w:val="24"/>
        </w:rPr>
        <w:t>N</w:t>
      </w:r>
      <w:r w:rsidRPr="004F5212">
        <w:rPr>
          <w:rFonts w:ascii="Times New Roman" w:hAnsi="Times New Roman" w:cs="Times New Roman"/>
          <w:b/>
          <w:sz w:val="24"/>
          <w:szCs w:val="24"/>
        </w:rPr>
        <w:t>am</w:t>
      </w:r>
    </w:p>
    <w:p w:rsidR="002C41C8" w:rsidRPr="004F5212" w:rsidRDefault="002C41C8" w:rsidP="002C41C8">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Ông Đặng Mạnh Phổ – Hàm Phó Tổng Giám đốc BIDV</w:t>
      </w:r>
      <w:r w:rsidR="00356FA0">
        <w:rPr>
          <w:rFonts w:ascii="Times New Roman" w:hAnsi="Times New Roman" w:cs="Times New Roman"/>
          <w:sz w:val="24"/>
          <w:szCs w:val="24"/>
        </w:rPr>
        <w:t xml:space="preserve"> </w:t>
      </w:r>
      <w:r w:rsidR="00356FA0" w:rsidRPr="000D7721">
        <w:rPr>
          <w:rFonts w:ascii="Times New Roman" w:hAnsi="Times New Roman" w:cs="Times New Roman"/>
          <w:b/>
          <w:sz w:val="24"/>
          <w:szCs w:val="24"/>
        </w:rPr>
        <w:t>(chủ trì)</w:t>
      </w:r>
      <w:r w:rsidR="00356FA0">
        <w:rPr>
          <w:rFonts w:ascii="Times New Roman" w:hAnsi="Times New Roman" w:cs="Times New Roman"/>
          <w:sz w:val="24"/>
          <w:szCs w:val="24"/>
        </w:rPr>
        <w:t xml:space="preserve"> </w:t>
      </w:r>
    </w:p>
    <w:p w:rsidR="002C41C8" w:rsidRPr="004F5212" w:rsidRDefault="002C41C8" w:rsidP="002C41C8">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Ông Nguyễn Xuân Hòa– Giám đốc Trung tâm CNTT</w:t>
      </w:r>
    </w:p>
    <w:p w:rsidR="002C41C8" w:rsidRPr="004F5212" w:rsidRDefault="00FB7D8E" w:rsidP="002C41C8">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Bà</w:t>
      </w:r>
      <w:r w:rsidR="002C41C8" w:rsidRPr="004F5212">
        <w:rPr>
          <w:rFonts w:ascii="Times New Roman" w:hAnsi="Times New Roman" w:cs="Times New Roman"/>
          <w:sz w:val="24"/>
          <w:szCs w:val="24"/>
        </w:rPr>
        <w:t xml:space="preserve"> </w:t>
      </w:r>
      <w:r w:rsidR="00EE0E58" w:rsidRPr="004F5212">
        <w:rPr>
          <w:rFonts w:ascii="Times New Roman" w:hAnsi="Times New Roman" w:cs="Times New Roman"/>
          <w:sz w:val="24"/>
          <w:szCs w:val="24"/>
        </w:rPr>
        <w:t>Đặng Thị Hải Yến</w:t>
      </w:r>
      <w:r w:rsidR="002C41C8" w:rsidRPr="004F5212">
        <w:rPr>
          <w:rFonts w:ascii="Times New Roman" w:hAnsi="Times New Roman" w:cs="Times New Roman"/>
          <w:sz w:val="24"/>
          <w:szCs w:val="24"/>
        </w:rPr>
        <w:t xml:space="preserve"> –</w:t>
      </w:r>
      <w:r w:rsidR="00EE0E58" w:rsidRPr="004F5212">
        <w:rPr>
          <w:rFonts w:ascii="Times New Roman" w:hAnsi="Times New Roman" w:cs="Times New Roman"/>
          <w:sz w:val="24"/>
          <w:szCs w:val="24"/>
        </w:rPr>
        <w:t xml:space="preserve"> Phó</w:t>
      </w:r>
      <w:r w:rsidR="002C41C8" w:rsidRPr="004F5212">
        <w:rPr>
          <w:rFonts w:ascii="Times New Roman" w:hAnsi="Times New Roman" w:cs="Times New Roman"/>
          <w:sz w:val="24"/>
          <w:szCs w:val="24"/>
        </w:rPr>
        <w:t xml:space="preserve"> Giám đốc Ban Công nghệ BIDV</w:t>
      </w:r>
    </w:p>
    <w:p w:rsidR="002C41C8" w:rsidRPr="004F5212" w:rsidRDefault="002C41C8" w:rsidP="002C41C8">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Bà Nguyễn Thị Anh Nga – Phó Giám đốc Ban Pháp chế BIDV</w:t>
      </w:r>
    </w:p>
    <w:p w:rsidR="002C41C8" w:rsidRPr="004F5212" w:rsidRDefault="002C41C8" w:rsidP="002C41C8">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Ông Nguyễn Việt Hưng – Phó Giám đốc Trung tâm Thẻ BIDV</w:t>
      </w:r>
    </w:p>
    <w:p w:rsidR="002C41C8" w:rsidRPr="004F5212" w:rsidRDefault="002C41C8" w:rsidP="002C41C8">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Bà Phạm Thị Tố Hoài – Phó Giám đốc Ban QLTSNN BIDV</w:t>
      </w:r>
    </w:p>
    <w:p w:rsidR="002C41C8" w:rsidRPr="004F5212" w:rsidRDefault="002C41C8" w:rsidP="002C41C8">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Ông Hoàng Anh Dũng – Trưởng phòng Ban Công nghệ BIDV</w:t>
      </w:r>
    </w:p>
    <w:p w:rsidR="00BC0845" w:rsidRPr="004F5212" w:rsidRDefault="002C41C8" w:rsidP="009E7741">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Ông Nguyễn Vũ Thắng – Chuyên viên Ban Pháp chế BIDV</w:t>
      </w:r>
    </w:p>
    <w:p w:rsidR="00610D25" w:rsidRPr="004F5212" w:rsidRDefault="00610D25" w:rsidP="00610D25">
      <w:pPr>
        <w:pStyle w:val="ListParagraph"/>
        <w:numPr>
          <w:ilvl w:val="0"/>
          <w:numId w:val="1"/>
        </w:numPr>
        <w:tabs>
          <w:tab w:val="left" w:pos="709"/>
        </w:tabs>
        <w:ind w:left="284" w:firstLine="0"/>
        <w:jc w:val="both"/>
        <w:rPr>
          <w:rFonts w:ascii="Times New Roman" w:hAnsi="Times New Roman" w:cs="Times New Roman"/>
          <w:b/>
          <w:sz w:val="24"/>
          <w:szCs w:val="24"/>
        </w:rPr>
      </w:pPr>
      <w:r w:rsidRPr="004F5212">
        <w:rPr>
          <w:rFonts w:ascii="Times New Roman" w:hAnsi="Times New Roman" w:cs="Times New Roman"/>
          <w:b/>
          <w:sz w:val="24"/>
          <w:szCs w:val="24"/>
        </w:rPr>
        <w:t>Ngân hàng ĐT&amp;PT Campuchia</w:t>
      </w:r>
    </w:p>
    <w:p w:rsidR="00610D25" w:rsidRPr="004F5212" w:rsidRDefault="00C56BC8" w:rsidP="00AE2260">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Ông Nguyễn Quốc Hưng</w:t>
      </w:r>
      <w:bookmarkStart w:id="0" w:name="OLE_LINK1"/>
      <w:bookmarkStart w:id="1" w:name="OLE_LINK2"/>
      <w:bookmarkStart w:id="2" w:name="OLE_LINK3"/>
      <w:bookmarkStart w:id="3" w:name="OLE_LINK4"/>
      <w:r w:rsidRPr="004F5212">
        <w:rPr>
          <w:rFonts w:ascii="Times New Roman" w:hAnsi="Times New Roman" w:cs="Times New Roman"/>
          <w:sz w:val="24"/>
          <w:szCs w:val="24"/>
        </w:rPr>
        <w:t xml:space="preserve"> </w:t>
      </w:r>
      <w:r w:rsidR="00610D25" w:rsidRPr="004F5212">
        <w:rPr>
          <w:rFonts w:ascii="Times New Roman" w:hAnsi="Times New Roman" w:cs="Times New Roman"/>
          <w:sz w:val="24"/>
          <w:szCs w:val="24"/>
        </w:rPr>
        <w:t>–</w:t>
      </w:r>
      <w:bookmarkEnd w:id="0"/>
      <w:bookmarkEnd w:id="1"/>
      <w:bookmarkEnd w:id="2"/>
      <w:bookmarkEnd w:id="3"/>
      <w:r w:rsidRPr="004F5212">
        <w:rPr>
          <w:rFonts w:ascii="Times New Roman" w:hAnsi="Times New Roman" w:cs="Times New Roman"/>
          <w:sz w:val="24"/>
          <w:szCs w:val="24"/>
        </w:rPr>
        <w:t xml:space="preserve"> </w:t>
      </w:r>
      <w:r w:rsidR="00610D25" w:rsidRPr="004F5212">
        <w:rPr>
          <w:rFonts w:ascii="Times New Roman" w:hAnsi="Times New Roman" w:cs="Times New Roman"/>
          <w:sz w:val="24"/>
          <w:szCs w:val="24"/>
        </w:rPr>
        <w:t>Tổng Giám đốc BIDC</w:t>
      </w:r>
    </w:p>
    <w:p w:rsidR="00610D25" w:rsidRPr="004F5212" w:rsidRDefault="00610D25" w:rsidP="00AE2260">
      <w:pPr>
        <w:pStyle w:val="ListParagraph"/>
        <w:numPr>
          <w:ilvl w:val="0"/>
          <w:numId w:val="20"/>
        </w:numPr>
        <w:tabs>
          <w:tab w:val="left" w:pos="709"/>
        </w:tabs>
        <w:jc w:val="both"/>
        <w:rPr>
          <w:rFonts w:ascii="Times New Roman" w:hAnsi="Times New Roman" w:cs="Times New Roman"/>
          <w:sz w:val="24"/>
          <w:szCs w:val="24"/>
        </w:rPr>
      </w:pPr>
      <w:r w:rsidRPr="004F5212">
        <w:rPr>
          <w:rFonts w:ascii="Times New Roman" w:hAnsi="Times New Roman" w:cs="Times New Roman"/>
          <w:sz w:val="24"/>
          <w:szCs w:val="24"/>
        </w:rPr>
        <w:t>Ông Phan Minh Tài – Trưởng phòng CNTT BIDC</w:t>
      </w:r>
      <w:r w:rsidR="001843AA">
        <w:rPr>
          <w:rFonts w:ascii="Times New Roman" w:hAnsi="Times New Roman" w:cs="Times New Roman"/>
          <w:sz w:val="24"/>
          <w:szCs w:val="24"/>
        </w:rPr>
        <w:t>.HO</w:t>
      </w:r>
    </w:p>
    <w:p w:rsidR="00C4576B" w:rsidRPr="004F5212" w:rsidRDefault="00C4576B" w:rsidP="009B0FB5">
      <w:pPr>
        <w:pStyle w:val="ListParagraph"/>
        <w:numPr>
          <w:ilvl w:val="0"/>
          <w:numId w:val="1"/>
        </w:numPr>
        <w:tabs>
          <w:tab w:val="left" w:pos="709"/>
        </w:tabs>
        <w:ind w:left="284" w:firstLine="0"/>
        <w:jc w:val="both"/>
        <w:rPr>
          <w:rFonts w:ascii="Times New Roman" w:hAnsi="Times New Roman" w:cs="Times New Roman"/>
          <w:b/>
          <w:sz w:val="24"/>
          <w:szCs w:val="24"/>
        </w:rPr>
      </w:pPr>
      <w:r w:rsidRPr="004F5212">
        <w:rPr>
          <w:rFonts w:ascii="Times New Roman" w:hAnsi="Times New Roman" w:cs="Times New Roman"/>
          <w:b/>
          <w:sz w:val="24"/>
          <w:szCs w:val="24"/>
        </w:rPr>
        <w:t xml:space="preserve">Công ty Tecapro </w:t>
      </w:r>
    </w:p>
    <w:p w:rsidR="00A031F9" w:rsidRPr="001460D8" w:rsidRDefault="004B3C26" w:rsidP="00051D54">
      <w:pPr>
        <w:pStyle w:val="ListParagraph"/>
        <w:numPr>
          <w:ilvl w:val="0"/>
          <w:numId w:val="20"/>
        </w:numPr>
        <w:tabs>
          <w:tab w:val="left" w:pos="709"/>
        </w:tabs>
        <w:jc w:val="both"/>
        <w:rPr>
          <w:rStyle w:val="apple-style-span"/>
          <w:rFonts w:ascii="Times New Roman" w:hAnsi="Times New Roman" w:cs="Times New Roman"/>
          <w:color w:val="000000" w:themeColor="text1"/>
          <w:sz w:val="24"/>
          <w:szCs w:val="24"/>
        </w:rPr>
      </w:pPr>
      <w:r w:rsidRPr="001460D8">
        <w:rPr>
          <w:rFonts w:ascii="Times New Roman" w:hAnsi="Times New Roman" w:cs="Times New Roman"/>
          <w:color w:val="000000" w:themeColor="text1"/>
          <w:sz w:val="24"/>
          <w:szCs w:val="24"/>
        </w:rPr>
        <w:t xml:space="preserve">Ông Nguyễn Thế Anh – </w:t>
      </w:r>
      <w:r w:rsidR="000D473C" w:rsidRPr="001460D8">
        <w:rPr>
          <w:rFonts w:ascii="Times New Roman" w:hAnsi="Times New Roman" w:cs="Times New Roman"/>
          <w:color w:val="000000" w:themeColor="text1"/>
          <w:sz w:val="24"/>
          <w:szCs w:val="24"/>
        </w:rPr>
        <w:t xml:space="preserve">Giám đốc TTKD 7 (được ủy quyền tham gia họp </w:t>
      </w:r>
      <w:r w:rsidR="00C11907" w:rsidRPr="001460D8">
        <w:rPr>
          <w:rFonts w:ascii="Times New Roman" w:hAnsi="Times New Roman" w:cs="Times New Roman"/>
          <w:color w:val="000000" w:themeColor="text1"/>
          <w:sz w:val="24"/>
          <w:szCs w:val="24"/>
        </w:rPr>
        <w:t xml:space="preserve">theo giấy ủy quyền số </w:t>
      </w:r>
      <w:r w:rsidR="0004651B" w:rsidRPr="001460D8">
        <w:rPr>
          <w:rFonts w:ascii="Times New Roman" w:hAnsi="Times New Roman" w:cs="Times New Roman"/>
          <w:color w:val="000000" w:themeColor="text1"/>
          <w:sz w:val="24"/>
          <w:szCs w:val="24"/>
        </w:rPr>
        <w:t>348/GUQ-UDKTSX)</w:t>
      </w:r>
    </w:p>
    <w:p w:rsidR="00DA6011" w:rsidRPr="004F5212" w:rsidRDefault="00F6075F" w:rsidP="00AE5C57">
      <w:pPr>
        <w:spacing w:line="360" w:lineRule="auto"/>
        <w:jc w:val="both"/>
        <w:rPr>
          <w:b/>
        </w:rPr>
      </w:pPr>
      <w:r w:rsidRPr="004F5212">
        <w:rPr>
          <w:b/>
        </w:rPr>
        <w:t xml:space="preserve">II. </w:t>
      </w:r>
      <w:r w:rsidR="00004EF9" w:rsidRPr="004F5212">
        <w:rPr>
          <w:b/>
        </w:rPr>
        <w:t>Nội dung:</w:t>
      </w:r>
    </w:p>
    <w:p w:rsidR="000016B6" w:rsidRPr="00520F94" w:rsidRDefault="00E433CD" w:rsidP="00520F94">
      <w:pPr>
        <w:pStyle w:val="ListParagraph"/>
        <w:numPr>
          <w:ilvl w:val="0"/>
          <w:numId w:val="16"/>
        </w:numPr>
        <w:jc w:val="both"/>
        <w:rPr>
          <w:rFonts w:ascii="Times New Roman" w:hAnsi="Times New Roman" w:cs="Times New Roman"/>
          <w:b/>
          <w:sz w:val="24"/>
          <w:szCs w:val="24"/>
        </w:rPr>
      </w:pPr>
      <w:r w:rsidRPr="00936D95">
        <w:rPr>
          <w:rFonts w:ascii="Times New Roman" w:hAnsi="Times New Roman" w:cs="Times New Roman"/>
          <w:b/>
          <w:sz w:val="24"/>
          <w:szCs w:val="24"/>
        </w:rPr>
        <w:t xml:space="preserve">Về </w:t>
      </w:r>
      <w:r w:rsidR="00857945" w:rsidRPr="00936D95">
        <w:rPr>
          <w:rFonts w:ascii="Times New Roman" w:hAnsi="Times New Roman" w:cs="Times New Roman"/>
          <w:b/>
          <w:sz w:val="24"/>
          <w:szCs w:val="24"/>
        </w:rPr>
        <w:t>khoản chi phí bảo trì do kéo dài thời gian bảo trì so với hợp đồng T24 giữa Tecapro &amp; BIDC</w:t>
      </w:r>
    </w:p>
    <w:p w:rsidR="00C122F8" w:rsidRDefault="00C122F8" w:rsidP="00352F85">
      <w:pPr>
        <w:pStyle w:val="ListParagraph"/>
        <w:numPr>
          <w:ilvl w:val="1"/>
          <w:numId w:val="1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Ý kiến của </w:t>
      </w:r>
      <w:r w:rsidR="00520F94">
        <w:rPr>
          <w:rFonts w:ascii="Times New Roman" w:hAnsi="Times New Roman" w:cs="Times New Roman"/>
          <w:b/>
          <w:sz w:val="24"/>
          <w:szCs w:val="24"/>
        </w:rPr>
        <w:t xml:space="preserve">BIDV &amp; </w:t>
      </w:r>
      <w:r>
        <w:rPr>
          <w:rFonts w:ascii="Times New Roman" w:hAnsi="Times New Roman" w:cs="Times New Roman"/>
          <w:b/>
          <w:sz w:val="24"/>
          <w:szCs w:val="24"/>
        </w:rPr>
        <w:t>BIDC</w:t>
      </w:r>
    </w:p>
    <w:p w:rsidR="00C122F8" w:rsidRPr="004F5212" w:rsidRDefault="00C122F8" w:rsidP="00DC4C18">
      <w:pPr>
        <w:pStyle w:val="ListParagraph"/>
        <w:numPr>
          <w:ilvl w:val="0"/>
          <w:numId w:val="24"/>
        </w:numPr>
        <w:spacing w:before="40" w:after="40" w:line="360" w:lineRule="auto"/>
        <w:jc w:val="both"/>
        <w:rPr>
          <w:rFonts w:ascii="Times New Roman" w:hAnsi="Times New Roman" w:cs="Times New Roman"/>
          <w:b/>
          <w:sz w:val="24"/>
          <w:szCs w:val="24"/>
        </w:rPr>
      </w:pPr>
      <w:r w:rsidRPr="004F5212">
        <w:rPr>
          <w:rFonts w:ascii="Times New Roman" w:hAnsi="Times New Roman" w:cs="Times New Roman"/>
          <w:b/>
          <w:sz w:val="24"/>
          <w:szCs w:val="24"/>
        </w:rPr>
        <w:t>Đối với khoản chi phí bảo trì do kéo dài thời gian bảo trì so với hợp đồng T24 giữa Tecapro &amp; BIDC</w:t>
      </w:r>
    </w:p>
    <w:p w:rsidR="00C122F8" w:rsidRPr="00CA69AB" w:rsidRDefault="00C122F8" w:rsidP="00DC4C18">
      <w:pPr>
        <w:pStyle w:val="ListParagraph"/>
        <w:numPr>
          <w:ilvl w:val="0"/>
          <w:numId w:val="15"/>
        </w:numPr>
        <w:spacing w:before="40" w:after="40" w:line="360" w:lineRule="auto"/>
        <w:jc w:val="both"/>
        <w:rPr>
          <w:rFonts w:ascii="Times New Roman" w:hAnsi="Times New Roman" w:cs="Times New Roman"/>
          <w:sz w:val="24"/>
          <w:szCs w:val="24"/>
        </w:rPr>
      </w:pPr>
      <w:r w:rsidRPr="004F5212">
        <w:rPr>
          <w:rFonts w:ascii="Times New Roman" w:hAnsi="Times New Roman" w:cs="Times New Roman"/>
          <w:sz w:val="24"/>
          <w:szCs w:val="24"/>
        </w:rPr>
        <w:t xml:space="preserve">Về nguyên tắc, khoản chi phí theo Tecapro thông báo liên quan đến việc chênh lệch thời gian bảo trì chưa có cơ sở để thực hiện. Do hợp đồng dịch vụ bảo trì T24 đã hết hạn và chưa có bất kỳ thỏa thuận liên quan nào đến việc gia hạn dịch vụ bảo trì giữa Tecapro và BIDC. </w:t>
      </w:r>
      <w:r w:rsidRPr="004F5212">
        <w:rPr>
          <w:rFonts w:ascii="Times New Roman" w:hAnsi="Times New Roman" w:cs="Times New Roman"/>
          <w:i/>
          <w:color w:val="FF0000"/>
          <w:sz w:val="24"/>
          <w:szCs w:val="24"/>
        </w:rPr>
        <w:t>Do đó các bên liên quan trực tiếp (BIDC &amp; Tecapro) phải làm việc để xác nhận rõ tính chất của khoản chi phí này</w:t>
      </w:r>
      <w:r w:rsidR="00A17142">
        <w:rPr>
          <w:rFonts w:ascii="Times New Roman" w:hAnsi="Times New Roman" w:cs="Times New Roman"/>
          <w:i/>
          <w:color w:val="FF0000"/>
          <w:sz w:val="24"/>
          <w:szCs w:val="24"/>
        </w:rPr>
        <w:t xml:space="preserve"> và cơ sở cần thiết để hạch toán.</w:t>
      </w:r>
    </w:p>
    <w:p w:rsidR="00745A33" w:rsidRPr="00487588" w:rsidRDefault="008C6F7E" w:rsidP="00745A33">
      <w:pPr>
        <w:pStyle w:val="ListParagraph"/>
        <w:numPr>
          <w:ilvl w:val="0"/>
          <w:numId w:val="24"/>
        </w:numPr>
        <w:spacing w:before="40" w:after="40" w:line="360" w:lineRule="auto"/>
        <w:jc w:val="both"/>
        <w:rPr>
          <w:rFonts w:ascii="Times New Roman" w:hAnsi="Times New Roman" w:cs="Times New Roman"/>
          <w:b/>
          <w:sz w:val="24"/>
          <w:szCs w:val="24"/>
        </w:rPr>
      </w:pPr>
      <w:r w:rsidRPr="00487588">
        <w:rPr>
          <w:rFonts w:ascii="Times New Roman" w:hAnsi="Times New Roman" w:cs="Times New Roman"/>
          <w:b/>
          <w:sz w:val="24"/>
          <w:szCs w:val="24"/>
        </w:rPr>
        <w:t>Đối với khoản chi phí hỗ trợ của Tecapro cho BIDC trong việc xử lý sai lệch hợp đồng</w:t>
      </w:r>
    </w:p>
    <w:p w:rsidR="008C6F7E" w:rsidRDefault="008C6F7E" w:rsidP="008C6F7E">
      <w:pPr>
        <w:pStyle w:val="ListParagraph"/>
        <w:numPr>
          <w:ilvl w:val="0"/>
          <w:numId w:val="15"/>
        </w:numPr>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Nhận định của BIDC, mức phí hỗ trợ</w:t>
      </w:r>
      <w:r w:rsidR="00CE7BEF">
        <w:rPr>
          <w:rFonts w:ascii="Times New Roman" w:hAnsi="Times New Roman" w:cs="Times New Roman"/>
          <w:sz w:val="24"/>
          <w:szCs w:val="24"/>
        </w:rPr>
        <w:t xml:space="preserve"> hiện nay theo đề xuất của Tecapro là quá thấp</w:t>
      </w:r>
      <w:r w:rsidR="007C0AD1">
        <w:rPr>
          <w:rFonts w:ascii="Times New Roman" w:hAnsi="Times New Roman" w:cs="Times New Roman"/>
          <w:sz w:val="24"/>
          <w:szCs w:val="24"/>
        </w:rPr>
        <w:t>, cần nâng cao mức hỗ trợ cho BIDC bằng nhiều hình thức khác nhau</w:t>
      </w:r>
      <w:r w:rsidR="008B7E74">
        <w:rPr>
          <w:rFonts w:ascii="Times New Roman" w:hAnsi="Times New Roman" w:cs="Times New Roman"/>
          <w:sz w:val="24"/>
          <w:szCs w:val="24"/>
        </w:rPr>
        <w:t xml:space="preserve">, có thể bao gồm </w:t>
      </w:r>
      <w:r w:rsidR="008B7E74">
        <w:rPr>
          <w:rFonts w:ascii="Times New Roman" w:hAnsi="Times New Roman" w:cs="Times New Roman"/>
          <w:sz w:val="24"/>
          <w:szCs w:val="24"/>
        </w:rPr>
        <w:lastRenderedPageBreak/>
        <w:t>cả phương thức hỗ trợ dịch vụ CNTT cho BIDC tại Campuchia, Việt Nam và hình thức hỗ trợ từ xa.</w:t>
      </w:r>
    </w:p>
    <w:p w:rsidR="008C6F7E" w:rsidRPr="009408FB" w:rsidRDefault="009912D2" w:rsidP="009408FB">
      <w:pPr>
        <w:pStyle w:val="ListParagraph"/>
        <w:numPr>
          <w:ilvl w:val="0"/>
          <w:numId w:val="15"/>
        </w:numPr>
        <w:spacing w:before="40" w:after="40" w:line="360" w:lineRule="auto"/>
        <w:jc w:val="both"/>
        <w:rPr>
          <w:rFonts w:ascii="Times New Roman" w:hAnsi="Times New Roman" w:cs="Times New Roman"/>
          <w:sz w:val="24"/>
          <w:szCs w:val="24"/>
        </w:rPr>
      </w:pPr>
      <w:r w:rsidRPr="004F5212">
        <w:rPr>
          <w:rFonts w:ascii="Times New Roman" w:hAnsi="Times New Roman" w:cs="Times New Roman"/>
          <w:sz w:val="24"/>
          <w:szCs w:val="24"/>
        </w:rPr>
        <w:t>Hiện tại toàn bộ các thông tin liên quan đến khoản hỗ trợ của Tecapro đối với BIDC chỉ thực hiện thông qua đàm phán giữa cán bộ và lãnh đạo các bên mà chưa có bất kỳ xác nhận chính thức (qua email hoặc văn bản). Đề nghị thực hiện việc này bằng văn bản để đủ căn cứ pháp lý thực hiện.</w:t>
      </w:r>
    </w:p>
    <w:p w:rsidR="005674E7" w:rsidRPr="004F5212" w:rsidRDefault="009D59FD" w:rsidP="00D33A70">
      <w:pPr>
        <w:pStyle w:val="ListParagraph"/>
        <w:numPr>
          <w:ilvl w:val="1"/>
          <w:numId w:val="16"/>
        </w:numPr>
        <w:spacing w:line="360" w:lineRule="auto"/>
        <w:jc w:val="both"/>
        <w:rPr>
          <w:rFonts w:ascii="Times New Roman" w:hAnsi="Times New Roman" w:cs="Times New Roman"/>
          <w:b/>
          <w:sz w:val="24"/>
          <w:szCs w:val="24"/>
        </w:rPr>
      </w:pPr>
      <w:r w:rsidRPr="004F5212">
        <w:rPr>
          <w:rFonts w:ascii="Times New Roman" w:hAnsi="Times New Roman" w:cs="Times New Roman"/>
          <w:b/>
          <w:sz w:val="24"/>
          <w:szCs w:val="24"/>
        </w:rPr>
        <w:t>Ý kiến của</w:t>
      </w:r>
      <w:r w:rsidR="00E734D0" w:rsidRPr="004F5212">
        <w:rPr>
          <w:rFonts w:ascii="Times New Roman" w:hAnsi="Times New Roman" w:cs="Times New Roman"/>
          <w:b/>
          <w:sz w:val="24"/>
          <w:szCs w:val="24"/>
        </w:rPr>
        <w:t xml:space="preserve"> </w:t>
      </w:r>
      <w:r w:rsidR="005674E7" w:rsidRPr="004F5212">
        <w:rPr>
          <w:rFonts w:ascii="Times New Roman" w:hAnsi="Times New Roman" w:cs="Times New Roman"/>
          <w:b/>
          <w:sz w:val="24"/>
          <w:szCs w:val="24"/>
        </w:rPr>
        <w:t>Tecapro</w:t>
      </w:r>
    </w:p>
    <w:p w:rsidR="00C25414" w:rsidRPr="00FF7AA9" w:rsidRDefault="00333FA7" w:rsidP="00FF7AA9">
      <w:pPr>
        <w:pStyle w:val="ListParagraph"/>
        <w:numPr>
          <w:ilvl w:val="0"/>
          <w:numId w:val="15"/>
        </w:numPr>
        <w:spacing w:before="40" w:after="40" w:line="360" w:lineRule="auto"/>
        <w:ind w:left="360"/>
        <w:jc w:val="both"/>
        <w:rPr>
          <w:rFonts w:ascii="Times New Roman" w:hAnsi="Times New Roman" w:cs="Times New Roman"/>
          <w:b/>
          <w:sz w:val="24"/>
          <w:szCs w:val="24"/>
        </w:rPr>
      </w:pPr>
      <w:r w:rsidRPr="004F5212">
        <w:rPr>
          <w:rFonts w:ascii="Times New Roman" w:hAnsi="Times New Roman" w:cs="Times New Roman"/>
          <w:b/>
          <w:sz w:val="24"/>
          <w:szCs w:val="24"/>
        </w:rPr>
        <w:t>Đối với khoản chi phí bảo trì do kéo dài thời gian bảo trì so với hợp đồng T24 giữa Tecapro &amp; BIDC</w:t>
      </w:r>
      <w:r w:rsidR="00FF7AA9">
        <w:rPr>
          <w:rFonts w:ascii="Times New Roman" w:hAnsi="Times New Roman" w:cs="Times New Roman"/>
          <w:b/>
          <w:sz w:val="24"/>
          <w:szCs w:val="24"/>
        </w:rPr>
        <w:t xml:space="preserve">, </w:t>
      </w:r>
      <w:r w:rsidR="00FF7AA9" w:rsidRPr="00FF7AA9">
        <w:rPr>
          <w:rFonts w:ascii="Times New Roman" w:hAnsi="Times New Roman" w:cs="Times New Roman"/>
          <w:sz w:val="24"/>
          <w:szCs w:val="24"/>
        </w:rPr>
        <w:t>Tecapro bổ sung thêm thông tin sau đây:</w:t>
      </w:r>
    </w:p>
    <w:p w:rsidR="006361EF" w:rsidRPr="00331AFD" w:rsidRDefault="006361EF" w:rsidP="00352F85">
      <w:pPr>
        <w:pStyle w:val="ListParagraph"/>
        <w:numPr>
          <w:ilvl w:val="0"/>
          <w:numId w:val="23"/>
        </w:numPr>
        <w:spacing w:after="40"/>
        <w:ind w:left="360"/>
        <w:jc w:val="both"/>
        <w:rPr>
          <w:rFonts w:ascii="Times New Roman" w:hAnsi="Times New Roman" w:cs="Times New Roman"/>
          <w:b/>
          <w:sz w:val="24"/>
          <w:szCs w:val="24"/>
        </w:rPr>
      </w:pPr>
      <w:r w:rsidRPr="00331AFD">
        <w:rPr>
          <w:rFonts w:ascii="Times New Roman" w:hAnsi="Times New Roman" w:cs="Times New Roman"/>
          <w:b/>
          <w:bCs/>
          <w:sz w:val="24"/>
          <w:szCs w:val="24"/>
        </w:rPr>
        <w:t>Tại Campuchia: 37,188.99 USD</w:t>
      </w:r>
    </w:p>
    <w:tbl>
      <w:tblPr>
        <w:tblW w:w="9090" w:type="dxa"/>
        <w:tblInd w:w="108" w:type="dxa"/>
        <w:tblCellMar>
          <w:left w:w="0" w:type="dxa"/>
          <w:right w:w="0" w:type="dxa"/>
        </w:tblCellMar>
        <w:tblLook w:val="04A0" w:firstRow="1" w:lastRow="0" w:firstColumn="1" w:lastColumn="0" w:noHBand="0" w:noVBand="1"/>
      </w:tblPr>
      <w:tblGrid>
        <w:gridCol w:w="608"/>
        <w:gridCol w:w="2784"/>
        <w:gridCol w:w="1503"/>
        <w:gridCol w:w="2196"/>
        <w:gridCol w:w="1999"/>
      </w:tblGrid>
      <w:tr w:rsidR="006361EF" w:rsidRPr="004E7240" w:rsidTr="00894C6A">
        <w:trPr>
          <w:trHeight w:val="690"/>
        </w:trPr>
        <w:tc>
          <w:tcPr>
            <w:tcW w:w="3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6361EF" w:rsidRPr="004E7240" w:rsidRDefault="006361EF">
            <w:pPr>
              <w:spacing w:line="360" w:lineRule="auto"/>
              <w:jc w:val="center"/>
              <w:rPr>
                <w:sz w:val="22"/>
              </w:rPr>
            </w:pPr>
            <w:r w:rsidRPr="004E7240">
              <w:rPr>
                <w:bCs/>
                <w:color w:val="000000"/>
                <w:sz w:val="22"/>
              </w:rPr>
              <w:t>STT</w:t>
            </w:r>
          </w:p>
        </w:tc>
        <w:tc>
          <w:tcPr>
            <w:tcW w:w="28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1EF" w:rsidRPr="004E7240" w:rsidRDefault="006361EF">
            <w:pPr>
              <w:spacing w:line="360" w:lineRule="auto"/>
              <w:jc w:val="center"/>
              <w:rPr>
                <w:sz w:val="22"/>
              </w:rPr>
            </w:pPr>
            <w:r w:rsidRPr="004E7240">
              <w:rPr>
                <w:bCs/>
                <w:color w:val="000000"/>
                <w:sz w:val="22"/>
              </w:rPr>
              <w:t>Hợp đồng</w:t>
            </w:r>
          </w:p>
        </w:tc>
        <w:tc>
          <w:tcPr>
            <w:tcW w:w="15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1EF" w:rsidRPr="004E7240" w:rsidRDefault="006361EF">
            <w:pPr>
              <w:spacing w:line="360" w:lineRule="auto"/>
              <w:jc w:val="center"/>
              <w:rPr>
                <w:sz w:val="22"/>
              </w:rPr>
            </w:pPr>
            <w:r w:rsidRPr="004E7240">
              <w:rPr>
                <w:bCs/>
                <w:color w:val="000000"/>
                <w:sz w:val="22"/>
              </w:rPr>
              <w:t>Giá trị bảo trì /1 năm (USD)</w:t>
            </w:r>
          </w:p>
        </w:tc>
        <w:tc>
          <w:tcPr>
            <w:tcW w:w="22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1EF" w:rsidRPr="004E7240" w:rsidRDefault="006361EF">
            <w:pPr>
              <w:jc w:val="center"/>
              <w:rPr>
                <w:sz w:val="22"/>
              </w:rPr>
            </w:pPr>
            <w:r w:rsidRPr="004E7240">
              <w:rPr>
                <w:bCs/>
                <w:color w:val="000000"/>
                <w:sz w:val="22"/>
              </w:rPr>
              <w:t>Chênh lệch thời gian kết thúc bảo trì</w:t>
            </w:r>
          </w:p>
          <w:p w:rsidR="006361EF" w:rsidRPr="004E7240" w:rsidRDefault="006361EF">
            <w:pPr>
              <w:spacing w:line="360" w:lineRule="auto"/>
              <w:jc w:val="center"/>
              <w:rPr>
                <w:sz w:val="22"/>
              </w:rPr>
            </w:pPr>
            <w:r w:rsidRPr="004E7240">
              <w:rPr>
                <w:bCs/>
                <w:color w:val="000000"/>
                <w:sz w:val="22"/>
              </w:rPr>
              <w:t>(31/07/2016 – 06/11/2016)</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1EF" w:rsidRPr="004E7240" w:rsidRDefault="006361EF">
            <w:pPr>
              <w:spacing w:line="360" w:lineRule="auto"/>
              <w:jc w:val="center"/>
              <w:rPr>
                <w:sz w:val="22"/>
              </w:rPr>
            </w:pPr>
            <w:r w:rsidRPr="004E7240">
              <w:rPr>
                <w:bCs/>
                <w:sz w:val="22"/>
              </w:rPr>
              <w:t> </w:t>
            </w:r>
            <w:r w:rsidRPr="004E7240">
              <w:rPr>
                <w:bCs/>
                <w:color w:val="000000"/>
                <w:sz w:val="22"/>
              </w:rPr>
              <w:t>Số phí Chênh lệch (USD)</w:t>
            </w:r>
          </w:p>
        </w:tc>
      </w:tr>
      <w:tr w:rsidR="006361EF" w:rsidRPr="004E7240" w:rsidTr="00224100">
        <w:trPr>
          <w:trHeight w:val="452"/>
        </w:trPr>
        <w:tc>
          <w:tcPr>
            <w:tcW w:w="3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61EF" w:rsidRPr="004E7240" w:rsidRDefault="006361EF">
            <w:pPr>
              <w:spacing w:line="360" w:lineRule="auto"/>
              <w:jc w:val="center"/>
              <w:rPr>
                <w:sz w:val="22"/>
              </w:rPr>
            </w:pPr>
            <w:r w:rsidRPr="004E7240">
              <w:rPr>
                <w:color w:val="000000"/>
                <w:sz w:val="22"/>
              </w:rPr>
              <w:t>1</w:t>
            </w:r>
          </w:p>
        </w:tc>
        <w:tc>
          <w:tcPr>
            <w:tcW w:w="28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361EF" w:rsidRPr="004E7240" w:rsidRDefault="006361EF">
            <w:pPr>
              <w:spacing w:line="360" w:lineRule="auto"/>
              <w:rPr>
                <w:sz w:val="22"/>
              </w:rPr>
            </w:pPr>
            <w:r w:rsidRPr="004E7240">
              <w:rPr>
                <w:color w:val="000000"/>
                <w:sz w:val="22"/>
              </w:rPr>
              <w:t>01/BIDC/TECAPRO/2009</w:t>
            </w:r>
          </w:p>
        </w:tc>
        <w:tc>
          <w:tcPr>
            <w:tcW w:w="15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361EF" w:rsidRPr="004E7240" w:rsidRDefault="006361EF">
            <w:pPr>
              <w:spacing w:line="360" w:lineRule="auto"/>
              <w:jc w:val="right"/>
              <w:rPr>
                <w:sz w:val="22"/>
              </w:rPr>
            </w:pPr>
            <w:r w:rsidRPr="004E7240">
              <w:rPr>
                <w:color w:val="000000"/>
                <w:sz w:val="22"/>
              </w:rPr>
              <w:t>121,500</w:t>
            </w:r>
          </w:p>
        </w:tc>
        <w:tc>
          <w:tcPr>
            <w:tcW w:w="22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361EF" w:rsidRPr="004E7240" w:rsidRDefault="006361EF">
            <w:pPr>
              <w:spacing w:line="360" w:lineRule="auto"/>
              <w:jc w:val="center"/>
              <w:rPr>
                <w:sz w:val="22"/>
              </w:rPr>
            </w:pPr>
            <w:r w:rsidRPr="004E7240">
              <w:rPr>
                <w:color w:val="000000"/>
                <w:sz w:val="22"/>
              </w:rPr>
              <w:t>98</w:t>
            </w: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361EF" w:rsidRPr="004E7240" w:rsidRDefault="006361EF">
            <w:pPr>
              <w:spacing w:line="360" w:lineRule="auto"/>
              <w:jc w:val="right"/>
              <w:rPr>
                <w:sz w:val="22"/>
              </w:rPr>
            </w:pPr>
            <w:r w:rsidRPr="004E7240">
              <w:rPr>
                <w:color w:val="000000"/>
                <w:sz w:val="22"/>
              </w:rPr>
              <w:t xml:space="preserve">  32,621.92 </w:t>
            </w:r>
          </w:p>
        </w:tc>
      </w:tr>
    </w:tbl>
    <w:p w:rsidR="006361EF" w:rsidRPr="00331AFD" w:rsidRDefault="006361EF" w:rsidP="00352F85">
      <w:pPr>
        <w:pStyle w:val="ListParagraph"/>
        <w:numPr>
          <w:ilvl w:val="0"/>
          <w:numId w:val="23"/>
        </w:numPr>
        <w:spacing w:after="40"/>
        <w:ind w:left="360"/>
        <w:jc w:val="both"/>
        <w:rPr>
          <w:rFonts w:ascii="Times New Roman" w:hAnsi="Times New Roman" w:cs="Times New Roman"/>
          <w:b/>
          <w:sz w:val="24"/>
          <w:szCs w:val="24"/>
        </w:rPr>
      </w:pPr>
      <w:r w:rsidRPr="00331AFD">
        <w:rPr>
          <w:rFonts w:ascii="Times New Roman" w:hAnsi="Times New Roman" w:cs="Times New Roman"/>
          <w:b/>
          <w:bCs/>
          <w:sz w:val="24"/>
          <w:szCs w:val="24"/>
        </w:rPr>
        <w:t>Tại Việt Nam: 9,054.25 USD</w:t>
      </w:r>
    </w:p>
    <w:tbl>
      <w:tblPr>
        <w:tblW w:w="9090" w:type="dxa"/>
        <w:tblInd w:w="108" w:type="dxa"/>
        <w:tblCellMar>
          <w:left w:w="0" w:type="dxa"/>
          <w:right w:w="0" w:type="dxa"/>
        </w:tblCellMar>
        <w:tblLook w:val="04A0" w:firstRow="1" w:lastRow="0" w:firstColumn="1" w:lastColumn="0" w:noHBand="0" w:noVBand="1"/>
      </w:tblPr>
      <w:tblGrid>
        <w:gridCol w:w="609"/>
        <w:gridCol w:w="2813"/>
        <w:gridCol w:w="1496"/>
        <w:gridCol w:w="2194"/>
        <w:gridCol w:w="1978"/>
      </w:tblGrid>
      <w:tr w:rsidR="006361EF" w:rsidRPr="004E7240" w:rsidTr="00894C6A">
        <w:trPr>
          <w:trHeight w:val="690"/>
        </w:trPr>
        <w:tc>
          <w:tcPr>
            <w:tcW w:w="34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6361EF" w:rsidRPr="004E7240" w:rsidRDefault="006361EF">
            <w:pPr>
              <w:spacing w:line="360" w:lineRule="auto"/>
              <w:jc w:val="center"/>
              <w:rPr>
                <w:sz w:val="22"/>
              </w:rPr>
            </w:pPr>
            <w:r w:rsidRPr="004E7240">
              <w:rPr>
                <w:bCs/>
                <w:color w:val="000000"/>
                <w:sz w:val="22"/>
              </w:rPr>
              <w:t>STT</w:t>
            </w:r>
          </w:p>
        </w:tc>
        <w:tc>
          <w:tcPr>
            <w:tcW w:w="28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1EF" w:rsidRPr="004E7240" w:rsidRDefault="006361EF">
            <w:pPr>
              <w:spacing w:line="360" w:lineRule="auto"/>
              <w:jc w:val="center"/>
              <w:rPr>
                <w:sz w:val="22"/>
              </w:rPr>
            </w:pPr>
            <w:r w:rsidRPr="004E7240">
              <w:rPr>
                <w:bCs/>
                <w:color w:val="000000"/>
                <w:sz w:val="22"/>
              </w:rPr>
              <w:t>Hợp đồng</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1EF" w:rsidRPr="004E7240" w:rsidRDefault="006361EF">
            <w:pPr>
              <w:spacing w:line="360" w:lineRule="auto"/>
              <w:jc w:val="center"/>
              <w:rPr>
                <w:sz w:val="22"/>
              </w:rPr>
            </w:pPr>
            <w:r w:rsidRPr="004E7240">
              <w:rPr>
                <w:bCs/>
                <w:color w:val="000000"/>
                <w:sz w:val="22"/>
              </w:rPr>
              <w:t>Giá trị bảo trì /1 năm (USD)</w:t>
            </w:r>
          </w:p>
        </w:tc>
        <w:tc>
          <w:tcPr>
            <w:tcW w:w="22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1EF" w:rsidRPr="004E7240" w:rsidRDefault="006361EF">
            <w:pPr>
              <w:jc w:val="center"/>
              <w:rPr>
                <w:sz w:val="22"/>
              </w:rPr>
            </w:pPr>
            <w:r w:rsidRPr="004E7240">
              <w:rPr>
                <w:bCs/>
                <w:color w:val="000000"/>
                <w:sz w:val="22"/>
              </w:rPr>
              <w:t>Chênh lệch thời gian kết thúc bảo trì</w:t>
            </w:r>
          </w:p>
          <w:p w:rsidR="006361EF" w:rsidRPr="004E7240" w:rsidRDefault="006361EF" w:rsidP="00C0680D">
            <w:pPr>
              <w:spacing w:line="360" w:lineRule="auto"/>
              <w:jc w:val="center"/>
              <w:rPr>
                <w:sz w:val="22"/>
              </w:rPr>
            </w:pPr>
            <w:r w:rsidRPr="004E7240">
              <w:rPr>
                <w:bCs/>
                <w:color w:val="000000"/>
                <w:sz w:val="22"/>
              </w:rPr>
              <w:t>(03/10/2016 -06/11/2016)</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1EF" w:rsidRPr="004E7240" w:rsidRDefault="006361EF">
            <w:pPr>
              <w:spacing w:line="360" w:lineRule="auto"/>
              <w:jc w:val="center"/>
              <w:rPr>
                <w:sz w:val="22"/>
              </w:rPr>
            </w:pPr>
            <w:r w:rsidRPr="004E7240">
              <w:rPr>
                <w:bCs/>
                <w:sz w:val="22"/>
              </w:rPr>
              <w:t> </w:t>
            </w:r>
            <w:r w:rsidRPr="004E7240">
              <w:rPr>
                <w:bCs/>
                <w:color w:val="000000"/>
                <w:sz w:val="22"/>
              </w:rPr>
              <w:t>Số phí Chênh lệch (USD)</w:t>
            </w:r>
          </w:p>
        </w:tc>
      </w:tr>
      <w:tr w:rsidR="006361EF" w:rsidRPr="004E7240" w:rsidTr="00224100">
        <w:trPr>
          <w:trHeight w:val="344"/>
        </w:trPr>
        <w:tc>
          <w:tcPr>
            <w:tcW w:w="34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61EF" w:rsidRPr="004E7240" w:rsidRDefault="006361EF">
            <w:pPr>
              <w:spacing w:line="360" w:lineRule="auto"/>
              <w:jc w:val="center"/>
              <w:rPr>
                <w:sz w:val="22"/>
              </w:rPr>
            </w:pPr>
            <w:r w:rsidRPr="004E7240">
              <w:rPr>
                <w:color w:val="000000"/>
                <w:sz w:val="22"/>
              </w:rPr>
              <w:t>1</w:t>
            </w:r>
          </w:p>
        </w:tc>
        <w:tc>
          <w:tcPr>
            <w:tcW w:w="28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361EF" w:rsidRPr="004E7240" w:rsidRDefault="006361EF">
            <w:pPr>
              <w:spacing w:line="360" w:lineRule="auto"/>
              <w:rPr>
                <w:sz w:val="22"/>
              </w:rPr>
            </w:pPr>
            <w:r w:rsidRPr="004E7240">
              <w:rPr>
                <w:color w:val="000000"/>
                <w:sz w:val="22"/>
              </w:rPr>
              <w:t>01/BIDC/TECAPRO/2009</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361EF" w:rsidRPr="004E7240" w:rsidRDefault="006361EF">
            <w:pPr>
              <w:spacing w:line="360" w:lineRule="auto"/>
              <w:jc w:val="right"/>
              <w:rPr>
                <w:sz w:val="22"/>
              </w:rPr>
            </w:pPr>
            <w:r w:rsidRPr="004E7240">
              <w:rPr>
                <w:color w:val="000000"/>
                <w:sz w:val="22"/>
              </w:rPr>
              <w:t>97,200</w:t>
            </w: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361EF" w:rsidRPr="004E7240" w:rsidRDefault="006361EF">
            <w:pPr>
              <w:spacing w:line="360" w:lineRule="auto"/>
              <w:jc w:val="center"/>
              <w:rPr>
                <w:sz w:val="22"/>
              </w:rPr>
            </w:pPr>
            <w:r w:rsidRPr="004E7240">
              <w:rPr>
                <w:color w:val="000000"/>
                <w:sz w:val="22"/>
              </w:rPr>
              <w:t>34</w:t>
            </w: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361EF" w:rsidRPr="004E7240" w:rsidRDefault="006361EF">
            <w:pPr>
              <w:spacing w:line="360" w:lineRule="auto"/>
              <w:jc w:val="right"/>
              <w:rPr>
                <w:sz w:val="22"/>
              </w:rPr>
            </w:pPr>
            <w:r w:rsidRPr="004E7240">
              <w:rPr>
                <w:color w:val="000000"/>
                <w:sz w:val="22"/>
              </w:rPr>
              <w:t>9,054.25</w:t>
            </w:r>
          </w:p>
        </w:tc>
      </w:tr>
    </w:tbl>
    <w:p w:rsidR="006361EF" w:rsidRPr="004F5212" w:rsidRDefault="006361EF" w:rsidP="00352F85">
      <w:r w:rsidRPr="004F5212">
        <w:t> </w:t>
      </w:r>
    </w:p>
    <w:p w:rsidR="00C25414" w:rsidRDefault="006361EF" w:rsidP="00AA1AA7">
      <w:pPr>
        <w:jc w:val="center"/>
        <w:rPr>
          <w:bCs/>
          <w:i/>
          <w:color w:val="000000"/>
        </w:rPr>
      </w:pPr>
      <w:r w:rsidRPr="00FC414E">
        <w:rPr>
          <w:b/>
        </w:rPr>
        <w:t xml:space="preserve">Tổng số tiền: </w:t>
      </w:r>
      <w:r w:rsidRPr="00FC414E">
        <w:rPr>
          <w:i/>
          <w:color w:val="000000"/>
        </w:rPr>
        <w:t xml:space="preserve">32,621.92 + 9,054.25 = </w:t>
      </w:r>
      <w:bookmarkStart w:id="4" w:name="_Hlk481069844"/>
      <w:r w:rsidRPr="00FC414E">
        <w:rPr>
          <w:bCs/>
          <w:i/>
          <w:color w:val="000000"/>
        </w:rPr>
        <w:t>41,676.17 (USD)</w:t>
      </w:r>
      <w:bookmarkEnd w:id="4"/>
    </w:p>
    <w:p w:rsidR="00FF7AA9" w:rsidRDefault="00FF7AA9" w:rsidP="00FF7AA9">
      <w:pPr>
        <w:jc w:val="both"/>
        <w:rPr>
          <w:bCs/>
          <w:i/>
          <w:color w:val="000000"/>
        </w:rPr>
      </w:pPr>
    </w:p>
    <w:p w:rsidR="00FF7AA9" w:rsidRDefault="00FF7AA9" w:rsidP="00FF7AA9">
      <w:pPr>
        <w:jc w:val="both"/>
        <w:rPr>
          <w:bCs/>
          <w:i/>
          <w:color w:val="000000"/>
        </w:rPr>
      </w:pPr>
      <w:r>
        <w:rPr>
          <w:bCs/>
          <w:i/>
          <w:color w:val="000000"/>
        </w:rPr>
        <w:t>Như vậy: Chi phí hỗ trợ cho BIDC trong việc sai lệch hợp đồng sẽ được tính trước hết dựa trên khoản phải thu hiện có. [Tecapro sẽ phối hợp với Temenos xác nhận khoản chi phí này và chủ động phối hợp với BIDC để hoàn tất thủ tục pháp lý liên quan].</w:t>
      </w:r>
    </w:p>
    <w:p w:rsidR="00FF7AA9" w:rsidRPr="00FF7AA9" w:rsidRDefault="00FF7AA9" w:rsidP="00FF7AA9">
      <w:pPr>
        <w:pStyle w:val="ListParagraph"/>
        <w:numPr>
          <w:ilvl w:val="0"/>
          <w:numId w:val="15"/>
        </w:numPr>
        <w:jc w:val="both"/>
        <w:rPr>
          <w:bCs/>
          <w:color w:val="000000"/>
        </w:rPr>
      </w:pPr>
      <w:r w:rsidRPr="00FF7AA9">
        <w:rPr>
          <w:rFonts w:ascii="Times New Roman" w:hAnsi="Times New Roman" w:cs="Times New Roman"/>
          <w:sz w:val="24"/>
          <w:szCs w:val="24"/>
        </w:rPr>
        <w:t xml:space="preserve">Đối với </w:t>
      </w:r>
      <w:r w:rsidRPr="00FF7AA9">
        <w:rPr>
          <w:rFonts w:ascii="Times New Roman" w:hAnsi="Times New Roman" w:cs="Times New Roman"/>
          <w:sz w:val="24"/>
          <w:szCs w:val="24"/>
        </w:rPr>
        <w:t xml:space="preserve">mức độ hỗ trợ chi phí theo như đề nghị của BIDC, Tecapro sẽ </w:t>
      </w:r>
      <w:r w:rsidR="009E01FA">
        <w:rPr>
          <w:rFonts w:ascii="Times New Roman" w:hAnsi="Times New Roman" w:cs="Times New Roman"/>
          <w:sz w:val="24"/>
          <w:szCs w:val="24"/>
        </w:rPr>
        <w:t xml:space="preserve">bổ sung thông qua việc </w:t>
      </w:r>
      <w:r w:rsidRPr="00FF7AA9">
        <w:rPr>
          <w:rFonts w:ascii="Times New Roman" w:hAnsi="Times New Roman" w:cs="Times New Roman"/>
          <w:sz w:val="24"/>
          <w:szCs w:val="24"/>
        </w:rPr>
        <w:t>hỗ trợ bằng hình thức khác</w:t>
      </w:r>
      <w:r w:rsidR="009E01FA">
        <w:rPr>
          <w:rFonts w:ascii="Times New Roman" w:hAnsi="Times New Roman" w:cs="Times New Roman"/>
          <w:sz w:val="24"/>
          <w:szCs w:val="24"/>
        </w:rPr>
        <w:t>, ưu tiên các vấn đề liên quan đến dịch vụ CNTT cho BIDC.</w:t>
      </w:r>
    </w:p>
    <w:p w:rsidR="00A75A1D" w:rsidRPr="00894C6A" w:rsidRDefault="00F66499" w:rsidP="008C6F7E">
      <w:pPr>
        <w:pStyle w:val="ListParagraph"/>
        <w:numPr>
          <w:ilvl w:val="0"/>
          <w:numId w:val="16"/>
        </w:numPr>
        <w:spacing w:after="120" w:line="360" w:lineRule="auto"/>
        <w:jc w:val="both"/>
        <w:rPr>
          <w:rFonts w:ascii="Times New Roman" w:hAnsi="Times New Roman" w:cs="Times New Roman"/>
          <w:b/>
          <w:sz w:val="24"/>
          <w:szCs w:val="24"/>
        </w:rPr>
      </w:pPr>
      <w:r w:rsidRPr="00894C6A">
        <w:rPr>
          <w:rFonts w:ascii="Times New Roman" w:hAnsi="Times New Roman" w:cs="Times New Roman"/>
          <w:b/>
          <w:sz w:val="24"/>
          <w:szCs w:val="24"/>
        </w:rPr>
        <w:t>Các nội dung thống nhất giữa các đơn vị</w:t>
      </w:r>
    </w:p>
    <w:p w:rsidR="00610D72" w:rsidRPr="006D0559" w:rsidRDefault="00610D72" w:rsidP="00B6007D">
      <w:pPr>
        <w:pStyle w:val="ListParagraph"/>
        <w:numPr>
          <w:ilvl w:val="0"/>
          <w:numId w:val="25"/>
        </w:numPr>
        <w:spacing w:before="40" w:after="40" w:line="360" w:lineRule="auto"/>
        <w:jc w:val="both"/>
        <w:rPr>
          <w:rFonts w:ascii="Times New Roman" w:hAnsi="Times New Roman" w:cs="Times New Roman"/>
          <w:sz w:val="24"/>
          <w:szCs w:val="24"/>
        </w:rPr>
      </w:pPr>
      <w:r w:rsidRPr="006D0559">
        <w:rPr>
          <w:rFonts w:ascii="Times New Roman" w:hAnsi="Times New Roman" w:cs="Times New Roman"/>
          <w:sz w:val="24"/>
          <w:szCs w:val="24"/>
        </w:rPr>
        <w:t xml:space="preserve">Khoản tiền hỗ trợ của Tecapro đối với BIDC: </w:t>
      </w:r>
      <w:r w:rsidR="00B6007D" w:rsidRPr="006D0559">
        <w:rPr>
          <w:rFonts w:ascii="Times New Roman" w:hAnsi="Times New Roman" w:cs="Times New Roman"/>
          <w:sz w:val="24"/>
          <w:szCs w:val="24"/>
        </w:rPr>
        <w:t>41,676.17 (USD)</w:t>
      </w:r>
      <w:r w:rsidR="00E46774">
        <w:rPr>
          <w:rFonts w:ascii="Times New Roman" w:hAnsi="Times New Roman" w:cs="Times New Roman"/>
          <w:sz w:val="24"/>
          <w:szCs w:val="24"/>
        </w:rPr>
        <w:t>.</w:t>
      </w:r>
    </w:p>
    <w:p w:rsidR="00B6007D" w:rsidRDefault="00B07D37" w:rsidP="003960EF">
      <w:pPr>
        <w:pStyle w:val="ListParagraph"/>
        <w:spacing w:before="40" w:after="40" w:line="360" w:lineRule="auto"/>
        <w:jc w:val="both"/>
        <w:rPr>
          <w:rFonts w:ascii="Times New Roman" w:hAnsi="Times New Roman" w:cs="Times New Roman"/>
          <w:sz w:val="24"/>
          <w:szCs w:val="24"/>
        </w:rPr>
      </w:pPr>
      <w:r w:rsidRPr="006D0559">
        <w:rPr>
          <w:rFonts w:ascii="Times New Roman" w:hAnsi="Times New Roman" w:cs="Times New Roman"/>
          <w:sz w:val="24"/>
          <w:szCs w:val="24"/>
        </w:rPr>
        <w:t>Các bên liên quan có trách nhiệm đảm bảo khoản chi phí hỗ trợ xử lý sai lệch hợp đồng được ghi nhận hợp pháp, tuân thủ quy trình quy định của hai bên.</w:t>
      </w:r>
      <w:r w:rsidR="00294577">
        <w:rPr>
          <w:rFonts w:ascii="Times New Roman" w:hAnsi="Times New Roman" w:cs="Times New Roman"/>
          <w:sz w:val="24"/>
          <w:szCs w:val="24"/>
        </w:rPr>
        <w:t xml:space="preserve"> Hoàn thành trước </w:t>
      </w:r>
      <w:r w:rsidR="00474D60">
        <w:rPr>
          <w:rFonts w:ascii="Times New Roman" w:hAnsi="Times New Roman" w:cs="Times New Roman"/>
          <w:sz w:val="24"/>
          <w:szCs w:val="24"/>
        </w:rPr>
        <w:t>30/</w:t>
      </w:r>
      <w:r w:rsidR="00294577">
        <w:rPr>
          <w:rFonts w:ascii="Times New Roman" w:hAnsi="Times New Roman" w:cs="Times New Roman"/>
          <w:sz w:val="24"/>
          <w:szCs w:val="24"/>
        </w:rPr>
        <w:t>10/2017.</w:t>
      </w:r>
    </w:p>
    <w:p w:rsidR="00BC4DED" w:rsidRDefault="00BC4DED" w:rsidP="00B6007D">
      <w:pPr>
        <w:pStyle w:val="ListParagraph"/>
        <w:numPr>
          <w:ilvl w:val="0"/>
          <w:numId w:val="25"/>
        </w:numPr>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Đối với khoản </w:t>
      </w:r>
      <w:r w:rsidR="00AE30EA">
        <w:rPr>
          <w:rFonts w:ascii="Times New Roman" w:hAnsi="Times New Roman" w:cs="Times New Roman"/>
          <w:sz w:val="24"/>
          <w:szCs w:val="24"/>
        </w:rPr>
        <w:t>chi phí liên quan đến việc chênh lệch thời gian bảo trì phần mềm, các bên liên quan trực tiếp Tecapro &amp; BIDC sẽ phải làm việc tiếp tục để xác nhận/không xác nhận tính pháp lý và tính đúng đắn của khoản chi phí này.</w:t>
      </w:r>
    </w:p>
    <w:p w:rsidR="008E7533" w:rsidRDefault="008E7533" w:rsidP="00B6007D">
      <w:pPr>
        <w:pStyle w:val="ListParagraph"/>
        <w:numPr>
          <w:ilvl w:val="0"/>
          <w:numId w:val="25"/>
        </w:numPr>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BIDC đề xuất nâng mức hỗ trợ lên 30%</w:t>
      </w:r>
      <w:r w:rsidR="004112BC">
        <w:rPr>
          <w:rFonts w:ascii="Times New Roman" w:hAnsi="Times New Roman" w:cs="Times New Roman"/>
          <w:sz w:val="24"/>
          <w:szCs w:val="24"/>
        </w:rPr>
        <w:t xml:space="preserve"> thông qua hình thức dịch vụ.</w:t>
      </w:r>
    </w:p>
    <w:p w:rsidR="009E01FA" w:rsidRDefault="009E01FA" w:rsidP="009E01FA">
      <w:pPr>
        <w:pStyle w:val="ListParagraph"/>
        <w:numPr>
          <w:ilvl w:val="0"/>
          <w:numId w:val="25"/>
        </w:numPr>
        <w:spacing w:before="40" w:after="40" w:line="360" w:lineRule="auto"/>
        <w:jc w:val="both"/>
        <w:rPr>
          <w:rFonts w:ascii="Times New Roman" w:hAnsi="Times New Roman" w:cs="Times New Roman"/>
          <w:sz w:val="24"/>
          <w:szCs w:val="24"/>
        </w:rPr>
      </w:pPr>
      <w:r w:rsidRPr="009E01FA">
        <w:rPr>
          <w:rFonts w:ascii="Times New Roman" w:hAnsi="Times New Roman" w:cs="Times New Roman"/>
          <w:sz w:val="24"/>
          <w:szCs w:val="24"/>
        </w:rPr>
        <w:t>Chi phí hỗ trợ cho BIDC trong việc sai lệch hợp đồng sẽ được tính trước hết dựa trên khoản phải thu hiện có</w:t>
      </w:r>
      <w:r>
        <w:rPr>
          <w:rFonts w:ascii="Times New Roman" w:hAnsi="Times New Roman" w:cs="Times New Roman"/>
          <w:sz w:val="24"/>
          <w:szCs w:val="24"/>
        </w:rPr>
        <w:t xml:space="preserve"> (Khoảng chênh lệch do kéo dài thời gian bảo trì)</w:t>
      </w:r>
      <w:r w:rsidRPr="009E01FA">
        <w:rPr>
          <w:rFonts w:ascii="Times New Roman" w:hAnsi="Times New Roman" w:cs="Times New Roman"/>
          <w:sz w:val="24"/>
          <w:szCs w:val="24"/>
        </w:rPr>
        <w:t>. [Tecapro sẽ phối hợp với Temenos xác nhận khoản chi phí này và chủ động phối hợp với BIDC để hoàn tất thủ tục pháp lý liên quan].</w:t>
      </w:r>
    </w:p>
    <w:p w:rsidR="009E01FA" w:rsidRDefault="009E01FA" w:rsidP="009E01FA">
      <w:pPr>
        <w:pStyle w:val="ListParagraph"/>
        <w:numPr>
          <w:ilvl w:val="0"/>
          <w:numId w:val="25"/>
        </w:numPr>
        <w:spacing w:before="40" w:after="40" w:line="360" w:lineRule="auto"/>
        <w:jc w:val="both"/>
        <w:rPr>
          <w:rFonts w:ascii="Times New Roman" w:hAnsi="Times New Roman" w:cs="Times New Roman"/>
          <w:sz w:val="24"/>
          <w:szCs w:val="24"/>
        </w:rPr>
      </w:pPr>
      <w:r>
        <w:rPr>
          <w:rFonts w:ascii="Times New Roman" w:hAnsi="Times New Roman" w:cs="Times New Roman"/>
          <w:sz w:val="24"/>
          <w:szCs w:val="24"/>
        </w:rPr>
        <w:t>Đối với hình thức hỗ trợ thông qua dịch vụ CNTT, trước mắt xem xét các nội dung sau đây, trong quá trình thực hiện công việc, có thể điều chỉnh theo yêu cầu thực tế.</w:t>
      </w:r>
    </w:p>
    <w:p w:rsidR="004F4DDB" w:rsidRDefault="009E01FA" w:rsidP="009E01FA">
      <w:pPr>
        <w:pStyle w:val="ListParagraph"/>
        <w:spacing w:before="40" w:after="40" w:line="360" w:lineRule="auto"/>
        <w:ind w:left="360"/>
        <w:jc w:val="center"/>
      </w:pPr>
      <w:r>
        <w:t xml:space="preserve">Bảng: </w:t>
      </w:r>
      <w:r w:rsidR="004F4DDB">
        <w:t>Một số nội dung cam kết hỗ trợ của Tecapro đối với BIDC</w:t>
      </w:r>
    </w:p>
    <w:tbl>
      <w:tblPr>
        <w:tblW w:w="0" w:type="auto"/>
        <w:tblInd w:w="113" w:type="dxa"/>
        <w:tblLayout w:type="fixed"/>
        <w:tblCellMar>
          <w:top w:w="15" w:type="dxa"/>
          <w:bottom w:w="15" w:type="dxa"/>
        </w:tblCellMar>
        <w:tblLook w:val="04A0" w:firstRow="1" w:lastRow="0" w:firstColumn="1" w:lastColumn="0" w:noHBand="0" w:noVBand="1"/>
      </w:tblPr>
      <w:tblGrid>
        <w:gridCol w:w="715"/>
        <w:gridCol w:w="1852"/>
        <w:gridCol w:w="4539"/>
        <w:gridCol w:w="1328"/>
        <w:gridCol w:w="741"/>
      </w:tblGrid>
      <w:tr w:rsidR="006D6350" w:rsidRPr="006D6350" w:rsidTr="006D6350">
        <w:trPr>
          <w:trHeight w:val="330"/>
        </w:trPr>
        <w:tc>
          <w:tcPr>
            <w:tcW w:w="715" w:type="dxa"/>
            <w:tcBorders>
              <w:top w:val="single" w:sz="4" w:space="0" w:color="auto"/>
              <w:left w:val="single" w:sz="4" w:space="0" w:color="auto"/>
              <w:bottom w:val="single" w:sz="4" w:space="0" w:color="auto"/>
              <w:right w:val="single" w:sz="4" w:space="0" w:color="auto"/>
            </w:tcBorders>
            <w:noWrap/>
            <w:vAlign w:val="bottom"/>
            <w:hideMark/>
          </w:tcPr>
          <w:p w:rsidR="004F4DDB" w:rsidRPr="006D6350" w:rsidRDefault="006D6350">
            <w:pPr>
              <w:jc w:val="center"/>
              <w:rPr>
                <w:b/>
                <w:bCs/>
                <w:color w:val="000000"/>
                <w:szCs w:val="26"/>
              </w:rPr>
            </w:pPr>
            <w:r>
              <w:rPr>
                <w:b/>
                <w:bCs/>
                <w:color w:val="000000"/>
                <w:szCs w:val="26"/>
              </w:rPr>
              <w:t>STT</w:t>
            </w:r>
          </w:p>
        </w:tc>
        <w:tc>
          <w:tcPr>
            <w:tcW w:w="1852" w:type="dxa"/>
            <w:tcBorders>
              <w:top w:val="single" w:sz="4" w:space="0" w:color="auto"/>
              <w:left w:val="single" w:sz="4" w:space="0" w:color="auto"/>
              <w:bottom w:val="single" w:sz="4" w:space="0" w:color="auto"/>
              <w:right w:val="single" w:sz="4" w:space="0" w:color="auto"/>
            </w:tcBorders>
            <w:noWrap/>
            <w:vAlign w:val="bottom"/>
            <w:hideMark/>
          </w:tcPr>
          <w:p w:rsidR="004F4DDB" w:rsidRPr="006D6350" w:rsidRDefault="004F4DDB">
            <w:pPr>
              <w:jc w:val="center"/>
              <w:rPr>
                <w:b/>
                <w:bCs/>
                <w:color w:val="000000"/>
                <w:szCs w:val="26"/>
              </w:rPr>
            </w:pPr>
            <w:r w:rsidRPr="006D6350">
              <w:rPr>
                <w:b/>
                <w:bCs/>
                <w:color w:val="000000"/>
                <w:szCs w:val="26"/>
              </w:rPr>
              <w:t>Hạng mục</w:t>
            </w:r>
          </w:p>
        </w:tc>
        <w:tc>
          <w:tcPr>
            <w:tcW w:w="4539" w:type="dxa"/>
            <w:tcBorders>
              <w:top w:val="single" w:sz="4" w:space="0" w:color="auto"/>
              <w:left w:val="single" w:sz="4" w:space="0" w:color="auto"/>
              <w:bottom w:val="single" w:sz="4" w:space="0" w:color="auto"/>
              <w:right w:val="single" w:sz="4" w:space="0" w:color="auto"/>
            </w:tcBorders>
            <w:noWrap/>
            <w:vAlign w:val="bottom"/>
            <w:hideMark/>
          </w:tcPr>
          <w:p w:rsidR="004F4DDB" w:rsidRPr="006D6350" w:rsidRDefault="004F4DDB">
            <w:pPr>
              <w:jc w:val="center"/>
              <w:rPr>
                <w:b/>
                <w:bCs/>
                <w:color w:val="000000"/>
                <w:szCs w:val="26"/>
              </w:rPr>
            </w:pPr>
            <w:r w:rsidRPr="006D6350">
              <w:rPr>
                <w:b/>
                <w:bCs/>
                <w:color w:val="000000"/>
                <w:szCs w:val="26"/>
              </w:rPr>
              <w:t>Nội dung</w:t>
            </w:r>
          </w:p>
        </w:tc>
        <w:tc>
          <w:tcPr>
            <w:tcW w:w="1328" w:type="dxa"/>
            <w:tcBorders>
              <w:top w:val="single" w:sz="4" w:space="0" w:color="auto"/>
              <w:left w:val="single" w:sz="4" w:space="0" w:color="auto"/>
              <w:bottom w:val="single" w:sz="4" w:space="0" w:color="auto"/>
              <w:right w:val="single" w:sz="4" w:space="0" w:color="auto"/>
            </w:tcBorders>
            <w:noWrap/>
            <w:vAlign w:val="bottom"/>
            <w:hideMark/>
          </w:tcPr>
          <w:p w:rsidR="004F4DDB" w:rsidRPr="006D6350" w:rsidRDefault="004F4DDB">
            <w:pPr>
              <w:jc w:val="center"/>
              <w:rPr>
                <w:b/>
                <w:bCs/>
                <w:color w:val="000000"/>
                <w:szCs w:val="26"/>
              </w:rPr>
            </w:pPr>
            <w:r w:rsidRPr="006D6350">
              <w:rPr>
                <w:b/>
                <w:bCs/>
                <w:color w:val="000000"/>
                <w:szCs w:val="26"/>
              </w:rPr>
              <w:t>Hình thức hỗ trợ</w:t>
            </w:r>
          </w:p>
        </w:tc>
        <w:tc>
          <w:tcPr>
            <w:tcW w:w="741" w:type="dxa"/>
            <w:tcBorders>
              <w:top w:val="single" w:sz="4" w:space="0" w:color="auto"/>
              <w:left w:val="single" w:sz="4" w:space="0" w:color="auto"/>
              <w:bottom w:val="single" w:sz="4" w:space="0" w:color="auto"/>
              <w:right w:val="single" w:sz="4" w:space="0" w:color="auto"/>
            </w:tcBorders>
            <w:noWrap/>
            <w:vAlign w:val="bottom"/>
            <w:hideMark/>
          </w:tcPr>
          <w:p w:rsidR="004F4DDB" w:rsidRPr="006D6350" w:rsidRDefault="004F4DDB">
            <w:pPr>
              <w:jc w:val="center"/>
              <w:rPr>
                <w:b/>
                <w:bCs/>
                <w:color w:val="000000"/>
                <w:szCs w:val="26"/>
              </w:rPr>
            </w:pPr>
            <w:r w:rsidRPr="006D6350">
              <w:rPr>
                <w:b/>
                <w:bCs/>
                <w:color w:val="000000"/>
                <w:szCs w:val="26"/>
              </w:rPr>
              <w:t>Ghi chú</w:t>
            </w:r>
          </w:p>
        </w:tc>
      </w:tr>
      <w:tr w:rsidR="006D6350" w:rsidRPr="006D6350" w:rsidTr="006D6350">
        <w:trPr>
          <w:trHeight w:val="97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Cơ sở dữ liệu</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Review hệ thống, đào tạo tuning Database Oracle T24 của BIDC tại DC (trung tâm dự liệu chính và DR (trung tâm phục hồi thảm họa)</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Cơ sở dữ liệu</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Xây dựng phương án nâng cấp CSDL Oralce lên phiên bản 12C phục vụ nâng cấp hệ thống T24</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3</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Cơ sở dữ liệu</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Tư vấn mô hình Oracle: RAC, Dataguard cho hệ thống DB T24 khi nâng cấp phiên bản mới nhất</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3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4</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Cơ sở dữ liệu</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C60FFB">
            <w:pPr>
              <w:rPr>
                <w:color w:val="000000"/>
                <w:szCs w:val="26"/>
              </w:rPr>
            </w:pPr>
            <w:r>
              <w:rPr>
                <w:color w:val="000000"/>
                <w:szCs w:val="26"/>
              </w:rPr>
              <w:t>Hỗ trợ</w:t>
            </w:r>
            <w:r w:rsidR="004F4DDB" w:rsidRPr="006D6350">
              <w:rPr>
                <w:color w:val="000000"/>
                <w:szCs w:val="26"/>
              </w:rPr>
              <w:t xml:space="preserve"> ra soát bảo mật cơ sở dữ liệu T24 </w:t>
            </w:r>
          </w:p>
        </w:tc>
        <w:tc>
          <w:tcPr>
            <w:tcW w:w="1328"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4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5</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Cơ sở dữ liệu</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520F94">
            <w:pPr>
              <w:rPr>
                <w:color w:val="000000"/>
                <w:szCs w:val="26"/>
              </w:rPr>
            </w:pPr>
            <w:r w:rsidRPr="006D6350">
              <w:rPr>
                <w:color w:val="000000"/>
                <w:szCs w:val="26"/>
              </w:rPr>
              <w:t>Đào tạo quản trị Oracle 12C</w:t>
            </w:r>
            <w:r w:rsidR="004F4DDB" w:rsidRPr="006D6350">
              <w:rPr>
                <w:color w:val="000000"/>
                <w:szCs w:val="26"/>
              </w:rPr>
              <w:t xml:space="preserve"> RAC và dataguard chuẩn bị cập nhật T24</w:t>
            </w:r>
          </w:p>
        </w:tc>
        <w:tc>
          <w:tcPr>
            <w:tcW w:w="1328"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99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6</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T24 Core Banking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Đánh giá hệ thống máy chủ Application, Database hiện tại khả năng dự phòng cho việc cài đặt, nâng cấp hệ thống T24: AIX 7.1, Java 1.7 (1.8), Oracle 12 C</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85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7</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T24 Core Banking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Đào tạo, cung cấp tài liệu, source code phát triển của Tecapro trên hệ thống T24 tại Campuchia: GAP, BPS</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99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8</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T24 Core Banking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Đào tạo, cung cấp tài liệu, source code phát triển của Tecapro trên hệ thống T24 tại Viêt Nam: GAP, BPS</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85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9</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T24 Core Banking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Rà soát, đánh giá toàn bộ máy chủ, thiết bị hệ thống Core banking T24 của BIDC</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8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10</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T24 Core Banking</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Tư vấn và hỗ trợ khai thác dữ liệu để chạy COB nhanh hơn</w:t>
            </w:r>
          </w:p>
        </w:tc>
        <w:tc>
          <w:tcPr>
            <w:tcW w:w="1328"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2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11</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T24 Core Banking</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A639C1">
            <w:pPr>
              <w:rPr>
                <w:color w:val="000000"/>
                <w:szCs w:val="26"/>
              </w:rPr>
            </w:pPr>
            <w:r w:rsidRPr="006D6350">
              <w:rPr>
                <w:color w:val="000000"/>
                <w:szCs w:val="26"/>
              </w:rPr>
              <w:t>Đào tạo về tạo báo cáo</w:t>
            </w:r>
            <w:r w:rsidR="004F4DDB" w:rsidRPr="006D6350">
              <w:rPr>
                <w:color w:val="000000"/>
                <w:szCs w:val="26"/>
              </w:rPr>
              <w:t xml:space="preserve"> Insign Report và phát triển T24</w:t>
            </w:r>
          </w:p>
        </w:tc>
        <w:tc>
          <w:tcPr>
            <w:tcW w:w="1328"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0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12</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Thiết bị lưu trữ</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Hỗ trợ xử lý lỗi thiết bị SAN IBM DS5020</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lastRenderedPageBreak/>
              <w:t>13</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Thiết bị lưu trữ</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Đào tạo quản trị chuyên sâu thiết bị, hướng dẫn mở rộng vùng SAN IBM DS5020</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14</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Thiết bị lưu trữ</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Tư vấn trang bị hệ thống lưu trữ mới, đề xuất giải pháp chuyển đổi sang thiết bị SAN mới.</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4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15</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Bảo mật</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Phân tích, đánh giá tổng thể hệ thống bảo mật của BIDC</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16</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Bảo mật</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Cấu hình thiết lập chính sách, lắp đặt tường lửa tách riêng vùng mạng external và internal (Dual firewall)</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33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17</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Bảo mật</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Thiết lập vùng DMZ tách các lớp mạng ứng dụng liên quan đến đối tác</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18</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Bảo mật</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Hỗ trợ BIDC trong vấn đề kết nối VPN để tiện cho việc kết nối với các đối tác</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4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19</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Bảo mật</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Đào tạo quản trị chuyên sâu Fortinet - Fortigate</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45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20</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Bảo mật</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Đào tạo quản trị chuyên sâu IPSec Tipping point</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5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21</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Bảo mật</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Đào tạo quản trị chuyên sâu BlueCoat</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22</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Bảo mật</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Hỗ trợ BIDC triển khai dự án AD tại các chi nhánh.</w:t>
            </w:r>
            <w:r w:rsidRPr="006D6350">
              <w:rPr>
                <w:color w:val="000000"/>
                <w:szCs w:val="26"/>
              </w:rPr>
              <w:br/>
              <w:t>Rà soát, triển khai hệ thống AD dự phòng</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23</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Mạng, truyền thông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Hỗ trợ BIDC trong việc phân chia lớp mạng (Test, phát triển, môi trường live)</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99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24</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Mạng, truyền thông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Hỗ trợ cấu hình Router và CoreSwitch để sử dụng được theo phương án Active- Standby.</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4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25</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Mạng, truyền thông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Rà soát và hỗ trợ BIDC tối ưu hệ thống LAN tại Hội sở chính</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26</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Mạng, truyền thông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Hỗ trợ BIDC cấu hình mạng song song cho 02 đường truyền chính và dự phòng tại chi nhánh</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2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27</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Mạng, truyền thông</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Đào tạo, cung cấp hệ thống giám sát mạng, truyền thông</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7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28</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Hệ thống Email</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Đào tạo chuyên sâu hệ thống email BIDC</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46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29</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Hệ thống Email</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Đánh giá, hỗ xử lý các lỗi tồn tại hệ thống email của BIDC</w:t>
            </w:r>
          </w:p>
        </w:tc>
        <w:tc>
          <w:tcPr>
            <w:tcW w:w="1328" w:type="dxa"/>
            <w:tcBorders>
              <w:top w:val="single" w:sz="4" w:space="0" w:color="auto"/>
              <w:left w:val="single" w:sz="4" w:space="0" w:color="auto"/>
              <w:bottom w:val="single" w:sz="4" w:space="0" w:color="auto"/>
              <w:right w:val="single" w:sz="4" w:space="0" w:color="auto"/>
            </w:tcBorders>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6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30</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Hệ thống lưu trữ</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 xml:space="preserve">Đào tạo quản trị chuyên sâu thiết bị TSM Tivoli, hướng dẫn backup dữ liệu các dữ liệu quan trọng khác vào TAPE </w:t>
            </w:r>
          </w:p>
        </w:tc>
        <w:tc>
          <w:tcPr>
            <w:tcW w:w="1328"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63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31</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Hệ thống máy chủ</w:t>
            </w:r>
          </w:p>
        </w:tc>
        <w:tc>
          <w:tcPr>
            <w:tcW w:w="4539" w:type="dxa"/>
            <w:tcBorders>
              <w:top w:val="single" w:sz="4" w:space="0" w:color="auto"/>
              <w:left w:val="single" w:sz="4" w:space="0" w:color="auto"/>
              <w:bottom w:val="single" w:sz="4" w:space="0" w:color="auto"/>
              <w:right w:val="single" w:sz="4" w:space="0" w:color="auto"/>
            </w:tcBorders>
            <w:hideMark/>
          </w:tcPr>
          <w:p w:rsidR="004F4DDB" w:rsidRPr="006D6350" w:rsidRDefault="004F4DDB">
            <w:pPr>
              <w:rPr>
                <w:color w:val="000000"/>
                <w:szCs w:val="26"/>
              </w:rPr>
            </w:pPr>
            <w:r w:rsidRPr="006D6350">
              <w:rPr>
                <w:color w:val="000000"/>
                <w:szCs w:val="26"/>
              </w:rPr>
              <w:t>Đào tạo quản trị chuyên sâu máy chủ IBM - AIX.</w:t>
            </w:r>
          </w:p>
        </w:tc>
        <w:tc>
          <w:tcPr>
            <w:tcW w:w="1328"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555"/>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lastRenderedPageBreak/>
              <w:t>32</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Báo cáo NBC</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672494">
            <w:pPr>
              <w:rPr>
                <w:color w:val="000000"/>
                <w:szCs w:val="26"/>
              </w:rPr>
            </w:pPr>
            <w:r w:rsidRPr="006D6350">
              <w:rPr>
                <w:color w:val="000000"/>
                <w:szCs w:val="26"/>
              </w:rPr>
              <w:t xml:space="preserve">Tư vấn </w:t>
            </w:r>
            <w:r w:rsidR="004F4DDB" w:rsidRPr="006D6350">
              <w:rPr>
                <w:color w:val="000000"/>
                <w:szCs w:val="26"/>
              </w:rPr>
              <w:t xml:space="preserve">và hỗ trợ cập nhật NBCR </w:t>
            </w:r>
          </w:p>
        </w:tc>
        <w:tc>
          <w:tcPr>
            <w:tcW w:w="1328"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p>
        </w:tc>
      </w:tr>
      <w:tr w:rsidR="006D6350" w:rsidRPr="006D6350" w:rsidTr="006D6350">
        <w:trPr>
          <w:trHeight w:val="480"/>
        </w:trPr>
        <w:tc>
          <w:tcPr>
            <w:tcW w:w="715"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right"/>
              <w:rPr>
                <w:color w:val="000000"/>
                <w:szCs w:val="26"/>
              </w:rPr>
            </w:pPr>
            <w:r w:rsidRPr="006D6350">
              <w:rPr>
                <w:color w:val="000000"/>
                <w:szCs w:val="26"/>
              </w:rPr>
              <w:t>33</w:t>
            </w:r>
          </w:p>
        </w:tc>
        <w:tc>
          <w:tcPr>
            <w:tcW w:w="1852"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Hỗ trợ BIDC Chi nhánh HCM</w:t>
            </w:r>
          </w:p>
        </w:tc>
        <w:tc>
          <w:tcPr>
            <w:tcW w:w="4539"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rPr>
                <w:color w:val="000000"/>
                <w:szCs w:val="26"/>
              </w:rPr>
            </w:pPr>
            <w:r w:rsidRPr="006D6350">
              <w:rPr>
                <w:color w:val="000000"/>
                <w:szCs w:val="26"/>
              </w:rPr>
              <w:t>Hỗ trợ trực tiếp BIDC chi nhánh TP.HCM</w:t>
            </w:r>
          </w:p>
        </w:tc>
        <w:tc>
          <w:tcPr>
            <w:tcW w:w="1328" w:type="dxa"/>
            <w:tcBorders>
              <w:top w:val="single" w:sz="4" w:space="0" w:color="auto"/>
              <w:left w:val="single" w:sz="4" w:space="0" w:color="auto"/>
              <w:bottom w:val="single" w:sz="4" w:space="0" w:color="auto"/>
              <w:right w:val="single" w:sz="4" w:space="0" w:color="auto"/>
            </w:tcBorders>
            <w:noWrap/>
            <w:hideMark/>
          </w:tcPr>
          <w:p w:rsidR="004F4DDB" w:rsidRPr="006D6350" w:rsidRDefault="004F4DDB">
            <w:pPr>
              <w:jc w:val="center"/>
              <w:rPr>
                <w:color w:val="000000"/>
                <w:szCs w:val="26"/>
              </w:rPr>
            </w:pPr>
            <w:r w:rsidRPr="006D6350">
              <w:rPr>
                <w:color w:val="000000"/>
                <w:szCs w:val="26"/>
              </w:rPr>
              <w:t>Onsite</w:t>
            </w:r>
          </w:p>
        </w:tc>
        <w:tc>
          <w:tcPr>
            <w:tcW w:w="741" w:type="dxa"/>
            <w:tcBorders>
              <w:top w:val="single" w:sz="4" w:space="0" w:color="auto"/>
              <w:left w:val="single" w:sz="4" w:space="0" w:color="auto"/>
              <w:bottom w:val="single" w:sz="4" w:space="0" w:color="auto"/>
              <w:right w:val="single" w:sz="4" w:space="0" w:color="auto"/>
            </w:tcBorders>
            <w:noWrap/>
            <w:vAlign w:val="bottom"/>
            <w:hideMark/>
          </w:tcPr>
          <w:p w:rsidR="004F4DDB" w:rsidRPr="006D6350" w:rsidRDefault="004F4DDB">
            <w:pPr>
              <w:jc w:val="center"/>
              <w:rPr>
                <w:color w:val="000000"/>
                <w:szCs w:val="26"/>
              </w:rPr>
            </w:pPr>
          </w:p>
        </w:tc>
      </w:tr>
    </w:tbl>
    <w:p w:rsidR="004F4DDB" w:rsidRPr="004F4DDB" w:rsidRDefault="004F4DDB" w:rsidP="004F4DDB">
      <w:pPr>
        <w:spacing w:before="40" w:after="40" w:line="360" w:lineRule="auto"/>
        <w:jc w:val="both"/>
      </w:pPr>
      <w:bookmarkStart w:id="5" w:name="_GoBack"/>
      <w:bookmarkEnd w:id="5"/>
    </w:p>
    <w:p w:rsidR="00BC3263" w:rsidRPr="004F5212" w:rsidRDefault="00BC3263" w:rsidP="000E7FD6">
      <w:pPr>
        <w:spacing w:before="120" w:line="360" w:lineRule="auto"/>
        <w:ind w:firstLine="360"/>
        <w:jc w:val="both"/>
      </w:pPr>
      <w:r w:rsidRPr="004F5212">
        <w:t xml:space="preserve">Buổi làm việc kết thúc vào hồi </w:t>
      </w:r>
      <w:r w:rsidR="00C869BF" w:rsidRPr="004F5212">
        <w:t>17</w:t>
      </w:r>
      <w:r w:rsidRPr="004F5212">
        <w:t>h</w:t>
      </w:r>
      <w:r w:rsidR="00C869BF" w:rsidRPr="004F5212">
        <w:t>00</w:t>
      </w:r>
      <w:r w:rsidRPr="004F5212">
        <w:t xml:space="preserve"> giờ ngày </w:t>
      </w:r>
      <w:r w:rsidR="00561A92" w:rsidRPr="004F5212">
        <w:t>04</w:t>
      </w:r>
      <w:r w:rsidRPr="004F5212">
        <w:t>/</w:t>
      </w:r>
      <w:r w:rsidR="009120D3" w:rsidRPr="004F5212">
        <w:t>0</w:t>
      </w:r>
      <w:r w:rsidR="00561A92" w:rsidRPr="004F5212">
        <w:t>5</w:t>
      </w:r>
      <w:r w:rsidRPr="004F5212">
        <w:t>/201</w:t>
      </w:r>
      <w:r w:rsidR="00561A92" w:rsidRPr="004F5212">
        <w:t>7</w:t>
      </w:r>
      <w:r w:rsidRPr="004F5212">
        <w:t xml:space="preserve">. Tất cả các bên đã </w:t>
      </w:r>
      <w:r w:rsidR="00DD32DD" w:rsidRPr="004F5212">
        <w:t xml:space="preserve">đọc kỹ, hiểu rõ và </w:t>
      </w:r>
      <w:r w:rsidRPr="004F5212">
        <w:t xml:space="preserve">thống nhất với các nội dung nêu trên và ký tên vào biên bản này làm cơ sở thực hiện. </w:t>
      </w:r>
    </w:p>
    <w:p w:rsidR="00A83D81" w:rsidRPr="00224100" w:rsidRDefault="003310F6" w:rsidP="00224100">
      <w:pPr>
        <w:spacing w:before="120" w:line="360" w:lineRule="auto"/>
        <w:ind w:firstLine="360"/>
        <w:jc w:val="both"/>
      </w:pPr>
      <w:r w:rsidRPr="00224100">
        <w:t>Biên bản này</w:t>
      </w:r>
      <w:r w:rsidR="00E45F4A" w:rsidRPr="00224100">
        <w:t xml:space="preserve"> bao gồ</w:t>
      </w:r>
      <w:r w:rsidR="007B63C6" w:rsidRPr="00224100">
        <w:t>m 04</w:t>
      </w:r>
      <w:r w:rsidR="00E45F4A" w:rsidRPr="00224100">
        <w:t xml:space="preserve"> trang</w:t>
      </w:r>
      <w:r w:rsidRPr="00224100">
        <w:t xml:space="preserve"> được lập thành 0</w:t>
      </w:r>
      <w:r w:rsidR="00B92532" w:rsidRPr="00224100">
        <w:t>3</w:t>
      </w:r>
      <w:r w:rsidR="00A83D81" w:rsidRPr="00224100">
        <w:t xml:space="preserve"> bản</w:t>
      </w:r>
      <w:r w:rsidR="007E7968" w:rsidRPr="00224100">
        <w:t xml:space="preserve"> có giá trị như nhau</w:t>
      </w:r>
      <w:r w:rsidR="00A83D81" w:rsidRPr="00224100">
        <w:t>, mỗi bên giữ 01 bản.</w:t>
      </w:r>
    </w:p>
    <w:tbl>
      <w:tblPr>
        <w:tblStyle w:val="TableGrid"/>
        <w:tblW w:w="8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4"/>
        <w:gridCol w:w="2729"/>
        <w:gridCol w:w="3067"/>
      </w:tblGrid>
      <w:tr w:rsidR="00007E23" w:rsidRPr="004F5212" w:rsidTr="00DF33F7">
        <w:trPr>
          <w:jc w:val="center"/>
        </w:trPr>
        <w:tc>
          <w:tcPr>
            <w:tcW w:w="3154" w:type="dxa"/>
          </w:tcPr>
          <w:p w:rsidR="00007E23" w:rsidRPr="004F5212" w:rsidRDefault="00007E23" w:rsidP="00AB30AE">
            <w:pPr>
              <w:spacing w:before="120"/>
              <w:jc w:val="center"/>
              <w:rPr>
                <w:b/>
              </w:rPr>
            </w:pPr>
            <w:r w:rsidRPr="004F5212">
              <w:rPr>
                <w:b/>
              </w:rPr>
              <w:t>Đại diện BIDC</w:t>
            </w:r>
          </w:p>
        </w:tc>
        <w:tc>
          <w:tcPr>
            <w:tcW w:w="2729" w:type="dxa"/>
          </w:tcPr>
          <w:p w:rsidR="00007E23" w:rsidRPr="004F5212" w:rsidRDefault="00007E23" w:rsidP="00AB30AE">
            <w:pPr>
              <w:spacing w:before="120"/>
              <w:jc w:val="center"/>
              <w:rPr>
                <w:b/>
              </w:rPr>
            </w:pPr>
            <w:r w:rsidRPr="004F5212">
              <w:rPr>
                <w:b/>
              </w:rPr>
              <w:t>Đại diện BIDV</w:t>
            </w:r>
          </w:p>
        </w:tc>
        <w:tc>
          <w:tcPr>
            <w:tcW w:w="3067" w:type="dxa"/>
          </w:tcPr>
          <w:p w:rsidR="00007E23" w:rsidRPr="004F5212" w:rsidRDefault="00007E23" w:rsidP="00AB30AE">
            <w:pPr>
              <w:spacing w:before="120"/>
              <w:jc w:val="center"/>
              <w:rPr>
                <w:b/>
              </w:rPr>
            </w:pPr>
            <w:r w:rsidRPr="004F5212">
              <w:rPr>
                <w:b/>
              </w:rPr>
              <w:t>Đại diện Tecapro</w:t>
            </w:r>
          </w:p>
        </w:tc>
      </w:tr>
      <w:tr w:rsidR="00007E23" w:rsidRPr="004F5212" w:rsidTr="00DF33F7">
        <w:trPr>
          <w:jc w:val="center"/>
        </w:trPr>
        <w:tc>
          <w:tcPr>
            <w:tcW w:w="3154" w:type="dxa"/>
          </w:tcPr>
          <w:p w:rsidR="00007E23" w:rsidRPr="004F5212" w:rsidRDefault="00007E23" w:rsidP="008A08C1">
            <w:pPr>
              <w:spacing w:before="120"/>
              <w:jc w:val="center"/>
              <w:rPr>
                <w:b/>
              </w:rPr>
            </w:pPr>
          </w:p>
          <w:p w:rsidR="00007E23" w:rsidRPr="004F5212" w:rsidRDefault="00007E23" w:rsidP="008A08C1">
            <w:pPr>
              <w:jc w:val="center"/>
              <w:rPr>
                <w:b/>
              </w:rPr>
            </w:pPr>
          </w:p>
          <w:p w:rsidR="00007E23" w:rsidRPr="004F5212" w:rsidRDefault="00007E23" w:rsidP="008A08C1">
            <w:pPr>
              <w:jc w:val="center"/>
              <w:rPr>
                <w:b/>
              </w:rPr>
            </w:pPr>
          </w:p>
          <w:p w:rsidR="00007E23" w:rsidRPr="004F5212" w:rsidRDefault="00007E23" w:rsidP="008A08C1">
            <w:pPr>
              <w:jc w:val="center"/>
              <w:rPr>
                <w:b/>
              </w:rPr>
            </w:pPr>
            <w:r w:rsidRPr="004F5212">
              <w:rPr>
                <w:b/>
              </w:rPr>
              <w:t>Nguyễn Quốc Hưng</w:t>
            </w:r>
          </w:p>
        </w:tc>
        <w:tc>
          <w:tcPr>
            <w:tcW w:w="2729" w:type="dxa"/>
          </w:tcPr>
          <w:p w:rsidR="00007E23" w:rsidRPr="004F5212" w:rsidRDefault="00007E23" w:rsidP="00AB30AE">
            <w:pPr>
              <w:spacing w:before="120"/>
              <w:jc w:val="center"/>
            </w:pPr>
          </w:p>
          <w:p w:rsidR="00007E23" w:rsidRPr="004F5212" w:rsidRDefault="00007E23" w:rsidP="00AB30AE">
            <w:pPr>
              <w:jc w:val="center"/>
            </w:pPr>
          </w:p>
          <w:p w:rsidR="00007E23" w:rsidRPr="004F5212" w:rsidRDefault="00007E23" w:rsidP="00AB30AE">
            <w:pPr>
              <w:jc w:val="center"/>
            </w:pPr>
          </w:p>
          <w:p w:rsidR="00007E23" w:rsidRPr="004F5212" w:rsidRDefault="00007E23" w:rsidP="00AB30AE">
            <w:pPr>
              <w:jc w:val="center"/>
            </w:pPr>
            <w:r w:rsidRPr="004F5212">
              <w:rPr>
                <w:b/>
              </w:rPr>
              <w:t>Đặng Mạnh Phổ</w:t>
            </w:r>
          </w:p>
        </w:tc>
        <w:tc>
          <w:tcPr>
            <w:tcW w:w="3067" w:type="dxa"/>
          </w:tcPr>
          <w:p w:rsidR="00007E23" w:rsidRPr="004F5212" w:rsidRDefault="00007E23" w:rsidP="00AB30AE">
            <w:pPr>
              <w:spacing w:before="120"/>
              <w:jc w:val="center"/>
            </w:pPr>
          </w:p>
          <w:p w:rsidR="00007E23" w:rsidRPr="004F5212" w:rsidRDefault="00007E23" w:rsidP="00AB30AE">
            <w:pPr>
              <w:spacing w:before="120"/>
              <w:jc w:val="center"/>
            </w:pPr>
          </w:p>
          <w:p w:rsidR="00007E23" w:rsidRPr="004F5212" w:rsidRDefault="00007E23" w:rsidP="00AB30AE">
            <w:pPr>
              <w:spacing w:before="120"/>
              <w:jc w:val="center"/>
              <w:rPr>
                <w:b/>
              </w:rPr>
            </w:pPr>
            <w:r w:rsidRPr="004F5212">
              <w:rPr>
                <w:b/>
              </w:rPr>
              <w:t>Nguyễn Thế Anh</w:t>
            </w:r>
          </w:p>
        </w:tc>
      </w:tr>
      <w:tr w:rsidR="00007E23" w:rsidRPr="004F5212" w:rsidTr="00DF33F7">
        <w:trPr>
          <w:jc w:val="center"/>
        </w:trPr>
        <w:tc>
          <w:tcPr>
            <w:tcW w:w="3154" w:type="dxa"/>
          </w:tcPr>
          <w:p w:rsidR="00007E23" w:rsidRPr="004F5212" w:rsidRDefault="00007E23" w:rsidP="008A08C1">
            <w:pPr>
              <w:jc w:val="center"/>
              <w:rPr>
                <w:b/>
              </w:rPr>
            </w:pPr>
          </w:p>
          <w:p w:rsidR="00007E23" w:rsidRPr="004F5212" w:rsidRDefault="00007E23" w:rsidP="008A08C1">
            <w:pPr>
              <w:jc w:val="center"/>
              <w:rPr>
                <w:b/>
              </w:rPr>
            </w:pPr>
          </w:p>
          <w:p w:rsidR="00007E23" w:rsidRPr="004F5212" w:rsidRDefault="00007E23" w:rsidP="008A08C1">
            <w:pPr>
              <w:jc w:val="center"/>
              <w:rPr>
                <w:b/>
              </w:rPr>
            </w:pPr>
          </w:p>
          <w:p w:rsidR="00007E23" w:rsidRPr="004F5212" w:rsidRDefault="00007E23" w:rsidP="008A08C1">
            <w:pPr>
              <w:jc w:val="center"/>
              <w:rPr>
                <w:b/>
              </w:rPr>
            </w:pPr>
            <w:r w:rsidRPr="004F5212">
              <w:rPr>
                <w:b/>
              </w:rPr>
              <w:t>Phan Minh Tài</w:t>
            </w:r>
          </w:p>
        </w:tc>
        <w:tc>
          <w:tcPr>
            <w:tcW w:w="2729" w:type="dxa"/>
          </w:tcPr>
          <w:p w:rsidR="00007E23" w:rsidRPr="004F5212" w:rsidRDefault="00007E23" w:rsidP="00AB30AE">
            <w:pPr>
              <w:spacing w:before="120"/>
              <w:jc w:val="center"/>
            </w:pPr>
          </w:p>
          <w:p w:rsidR="00007E23" w:rsidRPr="004F5212" w:rsidRDefault="00007E23" w:rsidP="00AB30AE">
            <w:pPr>
              <w:spacing w:before="120"/>
              <w:jc w:val="center"/>
            </w:pPr>
          </w:p>
          <w:p w:rsidR="00007E23" w:rsidRPr="004F5212" w:rsidRDefault="00007E23" w:rsidP="00AB30AE">
            <w:pPr>
              <w:spacing w:before="120"/>
              <w:jc w:val="center"/>
              <w:rPr>
                <w:b/>
              </w:rPr>
            </w:pPr>
            <w:r w:rsidRPr="004F5212">
              <w:rPr>
                <w:b/>
              </w:rPr>
              <w:t>Nguyễn Xuân Hòa</w:t>
            </w:r>
          </w:p>
        </w:tc>
        <w:tc>
          <w:tcPr>
            <w:tcW w:w="3067" w:type="dxa"/>
          </w:tcPr>
          <w:p w:rsidR="00007E23" w:rsidRPr="004F5212" w:rsidRDefault="00007E23" w:rsidP="00AB30AE">
            <w:pPr>
              <w:spacing w:before="120"/>
              <w:jc w:val="center"/>
            </w:pPr>
          </w:p>
          <w:p w:rsidR="00007E23" w:rsidRPr="004F5212" w:rsidRDefault="00007E23" w:rsidP="00AB30AE">
            <w:pPr>
              <w:spacing w:before="120"/>
              <w:jc w:val="center"/>
            </w:pPr>
          </w:p>
          <w:p w:rsidR="00007E23" w:rsidRPr="004F5212" w:rsidRDefault="00007E23" w:rsidP="00AB30AE">
            <w:pPr>
              <w:spacing w:before="120"/>
              <w:jc w:val="center"/>
              <w:rPr>
                <w:b/>
              </w:rPr>
            </w:pPr>
          </w:p>
        </w:tc>
      </w:tr>
      <w:tr w:rsidR="00007E23" w:rsidRPr="004F5212" w:rsidTr="00DF33F7">
        <w:trPr>
          <w:jc w:val="center"/>
        </w:trPr>
        <w:tc>
          <w:tcPr>
            <w:tcW w:w="3154" w:type="dxa"/>
          </w:tcPr>
          <w:p w:rsidR="00007E23" w:rsidRPr="004F5212" w:rsidRDefault="00007E23" w:rsidP="008A08C1">
            <w:pPr>
              <w:jc w:val="center"/>
              <w:rPr>
                <w:b/>
              </w:rPr>
            </w:pPr>
          </w:p>
        </w:tc>
        <w:tc>
          <w:tcPr>
            <w:tcW w:w="2729" w:type="dxa"/>
          </w:tcPr>
          <w:p w:rsidR="00007E23" w:rsidRPr="004F5212" w:rsidRDefault="00007E23" w:rsidP="00AB30AE">
            <w:pPr>
              <w:spacing w:before="120"/>
              <w:jc w:val="center"/>
            </w:pPr>
          </w:p>
          <w:p w:rsidR="00007E23" w:rsidRPr="004F5212" w:rsidRDefault="00007E23" w:rsidP="00AB30AE">
            <w:pPr>
              <w:jc w:val="center"/>
            </w:pPr>
          </w:p>
          <w:p w:rsidR="00007E23" w:rsidRPr="004F5212" w:rsidRDefault="00007E23" w:rsidP="00AB30AE">
            <w:pPr>
              <w:ind w:firstLine="720"/>
              <w:jc w:val="center"/>
            </w:pPr>
          </w:p>
          <w:p w:rsidR="00007E23" w:rsidRPr="004F5212" w:rsidRDefault="00007E23" w:rsidP="00AB30AE">
            <w:pPr>
              <w:jc w:val="center"/>
              <w:rPr>
                <w:b/>
              </w:rPr>
            </w:pPr>
            <w:r w:rsidRPr="004F5212">
              <w:rPr>
                <w:b/>
              </w:rPr>
              <w:t>Đặng Thị Hải Yến</w:t>
            </w:r>
          </w:p>
        </w:tc>
        <w:tc>
          <w:tcPr>
            <w:tcW w:w="3067" w:type="dxa"/>
          </w:tcPr>
          <w:p w:rsidR="00007E23" w:rsidRPr="004F5212" w:rsidRDefault="00007E23" w:rsidP="00AB30AE">
            <w:pPr>
              <w:spacing w:before="120"/>
              <w:jc w:val="center"/>
              <w:rPr>
                <w:b/>
              </w:rPr>
            </w:pPr>
          </w:p>
        </w:tc>
      </w:tr>
      <w:tr w:rsidR="00007E23" w:rsidRPr="004F5212" w:rsidTr="00DF33F7">
        <w:trPr>
          <w:jc w:val="center"/>
        </w:trPr>
        <w:tc>
          <w:tcPr>
            <w:tcW w:w="3154" w:type="dxa"/>
          </w:tcPr>
          <w:p w:rsidR="00007E23" w:rsidRPr="004F5212" w:rsidRDefault="00007E23" w:rsidP="00AB30AE">
            <w:pPr>
              <w:jc w:val="center"/>
              <w:rPr>
                <w:b/>
              </w:rPr>
            </w:pPr>
          </w:p>
        </w:tc>
        <w:tc>
          <w:tcPr>
            <w:tcW w:w="2729" w:type="dxa"/>
          </w:tcPr>
          <w:p w:rsidR="00007E23" w:rsidRPr="004F5212" w:rsidRDefault="00007E23" w:rsidP="00AB30AE">
            <w:pPr>
              <w:spacing w:before="120"/>
              <w:jc w:val="center"/>
            </w:pPr>
          </w:p>
          <w:p w:rsidR="00007E23" w:rsidRPr="004F5212" w:rsidRDefault="00007E23" w:rsidP="00AB30AE">
            <w:pPr>
              <w:jc w:val="center"/>
            </w:pPr>
          </w:p>
          <w:p w:rsidR="00007E23" w:rsidRPr="004F5212" w:rsidRDefault="00007E23" w:rsidP="00AB30AE">
            <w:pPr>
              <w:jc w:val="center"/>
            </w:pPr>
          </w:p>
          <w:p w:rsidR="00007E23" w:rsidRPr="004F5212" w:rsidRDefault="00007E23" w:rsidP="00A81C92">
            <w:pPr>
              <w:jc w:val="center"/>
              <w:rPr>
                <w:b/>
              </w:rPr>
            </w:pPr>
            <w:r w:rsidRPr="004F5212">
              <w:rPr>
                <w:b/>
              </w:rPr>
              <w:t>Nguyễn Thị Anh Nga</w:t>
            </w:r>
          </w:p>
        </w:tc>
        <w:tc>
          <w:tcPr>
            <w:tcW w:w="3067" w:type="dxa"/>
          </w:tcPr>
          <w:p w:rsidR="00007E23" w:rsidRPr="004F5212" w:rsidRDefault="00007E23" w:rsidP="00AB30AE">
            <w:pPr>
              <w:spacing w:before="120"/>
              <w:jc w:val="center"/>
              <w:rPr>
                <w:b/>
              </w:rPr>
            </w:pPr>
          </w:p>
        </w:tc>
      </w:tr>
      <w:tr w:rsidR="00007E23" w:rsidRPr="004F5212" w:rsidTr="00DF33F7">
        <w:trPr>
          <w:jc w:val="center"/>
        </w:trPr>
        <w:tc>
          <w:tcPr>
            <w:tcW w:w="3154" w:type="dxa"/>
          </w:tcPr>
          <w:p w:rsidR="00007E23" w:rsidRPr="004F5212" w:rsidRDefault="00007E23" w:rsidP="00AB30AE">
            <w:pPr>
              <w:spacing w:before="120"/>
              <w:jc w:val="center"/>
            </w:pPr>
          </w:p>
        </w:tc>
        <w:tc>
          <w:tcPr>
            <w:tcW w:w="2729" w:type="dxa"/>
          </w:tcPr>
          <w:p w:rsidR="00A81C92" w:rsidRPr="004F5212" w:rsidRDefault="00A81C92" w:rsidP="00AB30AE">
            <w:pPr>
              <w:spacing w:before="120"/>
              <w:jc w:val="center"/>
              <w:rPr>
                <w:b/>
              </w:rPr>
            </w:pPr>
          </w:p>
          <w:p w:rsidR="00A81C92" w:rsidRPr="004F5212" w:rsidRDefault="00A81C92" w:rsidP="00AB30AE">
            <w:pPr>
              <w:spacing w:before="120"/>
              <w:jc w:val="center"/>
              <w:rPr>
                <w:b/>
              </w:rPr>
            </w:pPr>
          </w:p>
          <w:p w:rsidR="00007E23" w:rsidRPr="004F5212" w:rsidRDefault="00007E23" w:rsidP="00AB30AE">
            <w:pPr>
              <w:spacing w:before="120"/>
              <w:jc w:val="center"/>
              <w:rPr>
                <w:b/>
              </w:rPr>
            </w:pPr>
            <w:r w:rsidRPr="004F5212">
              <w:rPr>
                <w:b/>
              </w:rPr>
              <w:t>Phạm Thị Tố Hoài</w:t>
            </w:r>
          </w:p>
        </w:tc>
        <w:tc>
          <w:tcPr>
            <w:tcW w:w="3067" w:type="dxa"/>
          </w:tcPr>
          <w:p w:rsidR="00007E23" w:rsidRPr="004F5212" w:rsidRDefault="00007E23" w:rsidP="00AB30AE">
            <w:pPr>
              <w:spacing w:before="120"/>
              <w:jc w:val="center"/>
              <w:rPr>
                <w:b/>
              </w:rPr>
            </w:pPr>
          </w:p>
        </w:tc>
      </w:tr>
      <w:tr w:rsidR="00007E23" w:rsidRPr="004F5212" w:rsidTr="00DF33F7">
        <w:trPr>
          <w:jc w:val="center"/>
        </w:trPr>
        <w:tc>
          <w:tcPr>
            <w:tcW w:w="3154" w:type="dxa"/>
          </w:tcPr>
          <w:p w:rsidR="00007E23" w:rsidRPr="004F5212" w:rsidRDefault="00007E23" w:rsidP="00AB30AE">
            <w:pPr>
              <w:spacing w:before="120"/>
              <w:jc w:val="center"/>
            </w:pPr>
          </w:p>
        </w:tc>
        <w:tc>
          <w:tcPr>
            <w:tcW w:w="2729" w:type="dxa"/>
          </w:tcPr>
          <w:p w:rsidR="00007E23" w:rsidRPr="004F5212" w:rsidRDefault="00007E23" w:rsidP="00AB30AE">
            <w:pPr>
              <w:spacing w:before="120"/>
              <w:jc w:val="center"/>
            </w:pPr>
          </w:p>
          <w:p w:rsidR="00007E23" w:rsidRPr="004F5212" w:rsidRDefault="00007E23" w:rsidP="00AB30AE">
            <w:pPr>
              <w:spacing w:before="120"/>
              <w:jc w:val="center"/>
            </w:pPr>
          </w:p>
          <w:p w:rsidR="00007E23" w:rsidRPr="004F5212" w:rsidRDefault="00007E23" w:rsidP="00AB30AE">
            <w:pPr>
              <w:spacing w:before="120"/>
              <w:jc w:val="center"/>
              <w:rPr>
                <w:b/>
              </w:rPr>
            </w:pPr>
            <w:r w:rsidRPr="004F5212">
              <w:rPr>
                <w:b/>
              </w:rPr>
              <w:t>Nguyễn Việt Hưng</w:t>
            </w:r>
          </w:p>
        </w:tc>
        <w:tc>
          <w:tcPr>
            <w:tcW w:w="3067" w:type="dxa"/>
          </w:tcPr>
          <w:p w:rsidR="00007E23" w:rsidRPr="004F5212" w:rsidRDefault="00007E23" w:rsidP="00AB30AE">
            <w:pPr>
              <w:spacing w:before="120"/>
              <w:jc w:val="center"/>
            </w:pPr>
          </w:p>
        </w:tc>
      </w:tr>
      <w:tr w:rsidR="00007E23" w:rsidRPr="004F5212" w:rsidTr="00DF33F7">
        <w:trPr>
          <w:jc w:val="center"/>
        </w:trPr>
        <w:tc>
          <w:tcPr>
            <w:tcW w:w="3154" w:type="dxa"/>
          </w:tcPr>
          <w:p w:rsidR="00007E23" w:rsidRPr="004F5212" w:rsidRDefault="00007E23" w:rsidP="00AB30AE">
            <w:pPr>
              <w:spacing w:before="120"/>
              <w:jc w:val="center"/>
            </w:pPr>
          </w:p>
        </w:tc>
        <w:tc>
          <w:tcPr>
            <w:tcW w:w="2729" w:type="dxa"/>
          </w:tcPr>
          <w:p w:rsidR="00007E23" w:rsidRDefault="00007E23" w:rsidP="00AB30AE">
            <w:pPr>
              <w:spacing w:before="120"/>
              <w:jc w:val="center"/>
            </w:pPr>
          </w:p>
          <w:p w:rsidR="009756D8" w:rsidRPr="004F5212" w:rsidRDefault="009756D8" w:rsidP="00AB30AE">
            <w:pPr>
              <w:spacing w:before="120"/>
              <w:jc w:val="center"/>
            </w:pPr>
          </w:p>
          <w:p w:rsidR="00007E23" w:rsidRPr="004F5212" w:rsidRDefault="00007E23" w:rsidP="00AB30AE">
            <w:pPr>
              <w:spacing w:before="120"/>
              <w:jc w:val="center"/>
              <w:rPr>
                <w:b/>
              </w:rPr>
            </w:pPr>
            <w:r w:rsidRPr="004F5212">
              <w:rPr>
                <w:b/>
              </w:rPr>
              <w:t>Trần Lê Như</w:t>
            </w:r>
          </w:p>
        </w:tc>
        <w:tc>
          <w:tcPr>
            <w:tcW w:w="3067" w:type="dxa"/>
          </w:tcPr>
          <w:p w:rsidR="00007E23" w:rsidRPr="004F5212" w:rsidRDefault="00007E23" w:rsidP="00AB30AE">
            <w:pPr>
              <w:spacing w:before="120"/>
              <w:jc w:val="center"/>
            </w:pPr>
          </w:p>
        </w:tc>
      </w:tr>
      <w:tr w:rsidR="00007E23" w:rsidRPr="004F5212" w:rsidTr="00DF33F7">
        <w:trPr>
          <w:jc w:val="center"/>
        </w:trPr>
        <w:tc>
          <w:tcPr>
            <w:tcW w:w="3154" w:type="dxa"/>
          </w:tcPr>
          <w:p w:rsidR="00007E23" w:rsidRPr="004F5212" w:rsidRDefault="00007E23" w:rsidP="00AB30AE">
            <w:pPr>
              <w:spacing w:before="120"/>
              <w:jc w:val="center"/>
            </w:pPr>
          </w:p>
        </w:tc>
        <w:tc>
          <w:tcPr>
            <w:tcW w:w="2729" w:type="dxa"/>
          </w:tcPr>
          <w:p w:rsidR="00007E23" w:rsidRDefault="00007E23" w:rsidP="00AB30AE">
            <w:pPr>
              <w:spacing w:before="120"/>
              <w:jc w:val="center"/>
            </w:pPr>
          </w:p>
          <w:p w:rsidR="009756D8" w:rsidRPr="004F5212" w:rsidRDefault="009756D8" w:rsidP="00AB30AE">
            <w:pPr>
              <w:spacing w:before="120"/>
              <w:jc w:val="center"/>
            </w:pPr>
          </w:p>
          <w:p w:rsidR="00007E23" w:rsidRPr="004F5212" w:rsidRDefault="00007E23" w:rsidP="00AB30AE">
            <w:pPr>
              <w:spacing w:before="120"/>
              <w:jc w:val="center"/>
              <w:rPr>
                <w:b/>
              </w:rPr>
            </w:pPr>
            <w:r w:rsidRPr="004F5212">
              <w:rPr>
                <w:b/>
              </w:rPr>
              <w:t>Hoàng Anh Dũng</w:t>
            </w:r>
          </w:p>
        </w:tc>
        <w:tc>
          <w:tcPr>
            <w:tcW w:w="3067" w:type="dxa"/>
          </w:tcPr>
          <w:p w:rsidR="00007E23" w:rsidRPr="004F5212" w:rsidRDefault="00007E23" w:rsidP="00AB30AE">
            <w:pPr>
              <w:spacing w:before="120"/>
              <w:jc w:val="center"/>
            </w:pPr>
          </w:p>
        </w:tc>
      </w:tr>
    </w:tbl>
    <w:p w:rsidR="00173A12" w:rsidRPr="004F5212" w:rsidRDefault="00173A12" w:rsidP="00DD32DD">
      <w:pPr>
        <w:spacing w:before="120"/>
        <w:ind w:firstLine="142"/>
        <w:jc w:val="both"/>
      </w:pPr>
    </w:p>
    <w:sectPr w:rsidR="00173A12" w:rsidRPr="004F5212" w:rsidSect="005665D7">
      <w:footerReference w:type="default" r:id="rId10"/>
      <w:pgSz w:w="11907" w:h="16840"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829" w:rsidRDefault="00434829" w:rsidP="009E193D">
      <w:r>
        <w:separator/>
      </w:r>
    </w:p>
  </w:endnote>
  <w:endnote w:type="continuationSeparator" w:id="0">
    <w:p w:rsidR="00434829" w:rsidRDefault="00434829" w:rsidP="009E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0" w:usb1="00000000" w:usb2="00000000" w:usb3="00000000" w:csb0="0001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641064"/>
      <w:docPartObj>
        <w:docPartGallery w:val="Page Numbers (Bottom of Page)"/>
        <w:docPartUnique/>
      </w:docPartObj>
    </w:sdtPr>
    <w:sdtEndPr/>
    <w:sdtContent>
      <w:p w:rsidR="00076F6B" w:rsidRDefault="00076F6B" w:rsidP="00FB07DB">
        <w:pPr>
          <w:pStyle w:val="Footer"/>
          <w:pBdr>
            <w:top w:val="single" w:sz="4" w:space="1" w:color="auto"/>
          </w:pBdr>
          <w:tabs>
            <w:tab w:val="clear" w:pos="9360"/>
            <w:tab w:val="right" w:pos="9072"/>
          </w:tabs>
          <w:jc w:val="both"/>
        </w:pPr>
        <w:r>
          <w:tab/>
        </w:r>
        <w:r>
          <w:tab/>
          <w:t xml:space="preserve">Trang </w:t>
        </w:r>
        <w:r>
          <w:fldChar w:fldCharType="begin"/>
        </w:r>
        <w:r>
          <w:instrText xml:space="preserve"> PAGE   \* MERGEFORMAT </w:instrText>
        </w:r>
        <w:r>
          <w:fldChar w:fldCharType="separate"/>
        </w:r>
        <w:r w:rsidR="009E01FA">
          <w:rPr>
            <w:noProof/>
          </w:rPr>
          <w:t>4</w:t>
        </w:r>
        <w:r>
          <w:fldChar w:fldCharType="end"/>
        </w:r>
      </w:p>
    </w:sdtContent>
  </w:sdt>
  <w:p w:rsidR="00076F6B" w:rsidRDefault="00076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829" w:rsidRDefault="00434829" w:rsidP="009E193D">
      <w:r>
        <w:separator/>
      </w:r>
    </w:p>
  </w:footnote>
  <w:footnote w:type="continuationSeparator" w:id="0">
    <w:p w:rsidR="00434829" w:rsidRDefault="00434829" w:rsidP="009E1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119"/>
    <w:multiLevelType w:val="hybridMultilevel"/>
    <w:tmpl w:val="67C6AE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91B91"/>
    <w:multiLevelType w:val="hybridMultilevel"/>
    <w:tmpl w:val="07B0467E"/>
    <w:lvl w:ilvl="0" w:tplc="B9A8147A">
      <w:start w:val="94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23961"/>
    <w:multiLevelType w:val="hybridMultilevel"/>
    <w:tmpl w:val="1CA2BEB4"/>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0E2F4DC8"/>
    <w:multiLevelType w:val="hybridMultilevel"/>
    <w:tmpl w:val="C1CC44D4"/>
    <w:lvl w:ilvl="0" w:tplc="464E8DE2">
      <w:start w:val="1"/>
      <w:numFmt w:val="bullet"/>
      <w:lvlText w:val=""/>
      <w:lvlJc w:val="left"/>
      <w:pPr>
        <w:ind w:left="252" w:hanging="360"/>
      </w:pPr>
      <w:rPr>
        <w:rFonts w:ascii="Wingdings" w:eastAsia="Calibri" w:hAnsi="Wingdings" w:cs="Times New Roman"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4" w15:restartNumberingAfterBreak="0">
    <w:nsid w:val="179A137E"/>
    <w:multiLevelType w:val="hybridMultilevel"/>
    <w:tmpl w:val="1CA2BEB4"/>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15:restartNumberingAfterBreak="0">
    <w:nsid w:val="17BD5A84"/>
    <w:multiLevelType w:val="hybridMultilevel"/>
    <w:tmpl w:val="9C8886EE"/>
    <w:lvl w:ilvl="0" w:tplc="D4E01F20">
      <w:start w:val="1"/>
      <w:numFmt w:val="bullet"/>
      <w:pStyle w:val="ListBullet"/>
      <w:lvlText w:val=""/>
      <w:lvlJc w:val="left"/>
      <w:pPr>
        <w:tabs>
          <w:tab w:val="num" w:pos="360"/>
        </w:tabs>
        <w:ind w:left="360" w:hanging="360"/>
      </w:pPr>
      <w:rPr>
        <w:rFonts w:ascii="Wingdings" w:hAnsi="Wingdings" w:hint="default"/>
      </w:rPr>
    </w:lvl>
    <w:lvl w:ilvl="1" w:tplc="D174CF06">
      <w:numFmt w:val="bullet"/>
      <w:lvlText w:val="-"/>
      <w:lvlJc w:val="left"/>
      <w:pPr>
        <w:ind w:left="1080" w:hanging="360"/>
      </w:pPr>
      <w:rPr>
        <w:rFonts w:ascii="Arial" w:eastAsia="Arial Unicode MS" w:hAnsi="Aria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470917"/>
    <w:multiLevelType w:val="multilevel"/>
    <w:tmpl w:val="9A788738"/>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12654EF"/>
    <w:multiLevelType w:val="hybridMultilevel"/>
    <w:tmpl w:val="32740B7A"/>
    <w:lvl w:ilvl="0" w:tplc="DD105652">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28450D06"/>
    <w:multiLevelType w:val="hybridMultilevel"/>
    <w:tmpl w:val="9FAE71D2"/>
    <w:lvl w:ilvl="0" w:tplc="B56431EA">
      <w:start w:val="1"/>
      <w:numFmt w:val="bullet"/>
      <w:lvlText w:val="+"/>
      <w:lvlJc w:val="left"/>
      <w:pPr>
        <w:ind w:left="612"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3090B"/>
    <w:multiLevelType w:val="hybridMultilevel"/>
    <w:tmpl w:val="EDDE06D8"/>
    <w:lvl w:ilvl="0" w:tplc="3828D0F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20848"/>
    <w:multiLevelType w:val="hybridMultilevel"/>
    <w:tmpl w:val="B6CEABE6"/>
    <w:lvl w:ilvl="0" w:tplc="04DA8BC0">
      <w:start w:val="1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3C137B"/>
    <w:multiLevelType w:val="hybridMultilevel"/>
    <w:tmpl w:val="010C7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24718"/>
    <w:multiLevelType w:val="hybridMultilevel"/>
    <w:tmpl w:val="632601F4"/>
    <w:lvl w:ilvl="0" w:tplc="B48624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604390"/>
    <w:multiLevelType w:val="hybridMultilevel"/>
    <w:tmpl w:val="368AAD50"/>
    <w:lvl w:ilvl="0" w:tplc="47A29336">
      <w:start w:val="4"/>
      <w:numFmt w:val="bullet"/>
      <w:lvlText w:val="-"/>
      <w:lvlJc w:val="left"/>
      <w:pPr>
        <w:ind w:left="644" w:hanging="360"/>
      </w:pPr>
      <w:rPr>
        <w:rFonts w:ascii="Times New Roman" w:eastAsiaTheme="minorHAnsi" w:hAnsi="Times New Roman" w:cs="Times New Roman" w:hint="default"/>
      </w:rPr>
    </w:lvl>
    <w:lvl w:ilvl="1" w:tplc="0409000D">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47A97278"/>
    <w:multiLevelType w:val="hybridMultilevel"/>
    <w:tmpl w:val="0C6873B2"/>
    <w:lvl w:ilvl="0" w:tplc="95ECFADA">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D42724"/>
    <w:multiLevelType w:val="hybridMultilevel"/>
    <w:tmpl w:val="8D509CD4"/>
    <w:lvl w:ilvl="0" w:tplc="6DE8BE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C310D"/>
    <w:multiLevelType w:val="hybridMultilevel"/>
    <w:tmpl w:val="AACCE8EC"/>
    <w:lvl w:ilvl="0" w:tplc="1B362BFC">
      <w:start w:val="1"/>
      <w:numFmt w:val="bullet"/>
      <w:lvlText w:val=""/>
      <w:lvlJc w:val="left"/>
      <w:pPr>
        <w:ind w:left="720" w:hanging="360"/>
      </w:pPr>
      <w:rPr>
        <w:rFonts w:ascii="Wingdings" w:eastAsia="Calibr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B27B0"/>
    <w:multiLevelType w:val="hybridMultilevel"/>
    <w:tmpl w:val="86249DBE"/>
    <w:lvl w:ilvl="0" w:tplc="A19A21D6">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74F5C"/>
    <w:multiLevelType w:val="hybridMultilevel"/>
    <w:tmpl w:val="6666E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9720D"/>
    <w:multiLevelType w:val="hybridMultilevel"/>
    <w:tmpl w:val="2256C55E"/>
    <w:lvl w:ilvl="0" w:tplc="BC4E96AE">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FF36A5"/>
    <w:multiLevelType w:val="hybridMultilevel"/>
    <w:tmpl w:val="74BCB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5075B"/>
    <w:multiLevelType w:val="multilevel"/>
    <w:tmpl w:val="78B09B5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2A86732"/>
    <w:multiLevelType w:val="hybridMultilevel"/>
    <w:tmpl w:val="B4828B98"/>
    <w:lvl w:ilvl="0" w:tplc="DD105652">
      <w:start w:val="2"/>
      <w:numFmt w:val="bullet"/>
      <w:lvlText w:val="-"/>
      <w:lvlJc w:val="left"/>
      <w:pPr>
        <w:ind w:left="720" w:hanging="360"/>
      </w:pPr>
      <w:rPr>
        <w:rFonts w:ascii="Times New Roman" w:eastAsia="Times New Roman" w:hAnsi="Times New Roman" w:cs="Times New Roman" w:hint="default"/>
      </w:rPr>
    </w:lvl>
    <w:lvl w:ilvl="1" w:tplc="0409000D">
      <w:start w:val="1"/>
      <w:numFmt w:val="bullet"/>
      <w:lvlText w:val=""/>
      <w:lvlJc w:val="left"/>
      <w:pPr>
        <w:ind w:left="1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2C13"/>
    <w:multiLevelType w:val="hybridMultilevel"/>
    <w:tmpl w:val="9B4C1F18"/>
    <w:lvl w:ilvl="0" w:tplc="356E4658">
      <w:start w:val="5"/>
      <w:numFmt w:val="bullet"/>
      <w:lvlText w:val="-"/>
      <w:lvlJc w:val="left"/>
      <w:pPr>
        <w:ind w:left="360" w:hanging="360"/>
      </w:pPr>
      <w:rPr>
        <w:rFonts w:ascii="Times New Roman" w:eastAsia="Times New Roman" w:hAnsi="Times New Roman" w:cs="Times New Roman" w:hint="default"/>
        <w:b/>
      </w:rPr>
    </w:lvl>
    <w:lvl w:ilvl="1" w:tplc="0409000D">
      <w:start w:val="1"/>
      <w:numFmt w:val="bullet"/>
      <w:lvlText w:val=""/>
      <w:lvlJc w:val="left"/>
      <w:pPr>
        <w:ind w:left="1080" w:hanging="360"/>
      </w:pPr>
      <w:rPr>
        <w:rFonts w:ascii="Wingdings" w:hAnsi="Wingdings" w:hint="default"/>
      </w:rPr>
    </w:lvl>
    <w:lvl w:ilvl="2" w:tplc="0409000D">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E559C7"/>
    <w:multiLevelType w:val="multilevel"/>
    <w:tmpl w:val="18B8B090"/>
    <w:lvl w:ilvl="0">
      <w:start w:val="1"/>
      <w:numFmt w:val="lowerLetter"/>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4"/>
  </w:num>
  <w:num w:numId="3">
    <w:abstractNumId w:val="12"/>
  </w:num>
  <w:num w:numId="4">
    <w:abstractNumId w:val="21"/>
  </w:num>
  <w:num w:numId="5">
    <w:abstractNumId w:val="19"/>
  </w:num>
  <w:num w:numId="6">
    <w:abstractNumId w:val="10"/>
  </w:num>
  <w:num w:numId="7">
    <w:abstractNumId w:val="1"/>
  </w:num>
  <w:num w:numId="8">
    <w:abstractNumId w:val="16"/>
  </w:num>
  <w:num w:numId="9">
    <w:abstractNumId w:val="8"/>
  </w:num>
  <w:num w:numId="10">
    <w:abstractNumId w:val="5"/>
  </w:num>
  <w:num w:numId="11">
    <w:abstractNumId w:val="3"/>
  </w:num>
  <w:num w:numId="12">
    <w:abstractNumId w:val="18"/>
  </w:num>
  <w:num w:numId="13">
    <w:abstractNumId w:val="9"/>
  </w:num>
  <w:num w:numId="14">
    <w:abstractNumId w:val="20"/>
  </w:num>
  <w:num w:numId="15">
    <w:abstractNumId w:val="22"/>
  </w:num>
  <w:num w:numId="16">
    <w:abstractNumId w:val="6"/>
  </w:num>
  <w:num w:numId="17">
    <w:abstractNumId w:val="2"/>
  </w:num>
  <w:num w:numId="18">
    <w:abstractNumId w:val="4"/>
  </w:num>
  <w:num w:numId="19">
    <w:abstractNumId w:val="15"/>
  </w:num>
  <w:num w:numId="20">
    <w:abstractNumId w:val="7"/>
  </w:num>
  <w:num w:numId="21">
    <w:abstractNumId w:val="13"/>
  </w:num>
  <w:num w:numId="22">
    <w:abstractNumId w:val="23"/>
  </w:num>
  <w:num w:numId="23">
    <w:abstractNumId w:val="17"/>
  </w:num>
  <w:num w:numId="24">
    <w:abstractNumId w:val="24"/>
  </w:num>
  <w:num w:numId="2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638"/>
    <w:rsid w:val="000016B6"/>
    <w:rsid w:val="00003F9E"/>
    <w:rsid w:val="00004EF9"/>
    <w:rsid w:val="00006024"/>
    <w:rsid w:val="00007E23"/>
    <w:rsid w:val="00007E48"/>
    <w:rsid w:val="000112F5"/>
    <w:rsid w:val="0001576F"/>
    <w:rsid w:val="0002251A"/>
    <w:rsid w:val="000248ED"/>
    <w:rsid w:val="0003062C"/>
    <w:rsid w:val="000319B2"/>
    <w:rsid w:val="000348AB"/>
    <w:rsid w:val="00035B1C"/>
    <w:rsid w:val="00042B5B"/>
    <w:rsid w:val="000444A8"/>
    <w:rsid w:val="000455B8"/>
    <w:rsid w:val="0004651B"/>
    <w:rsid w:val="00047A2F"/>
    <w:rsid w:val="00051A39"/>
    <w:rsid w:val="00051D54"/>
    <w:rsid w:val="000556B5"/>
    <w:rsid w:val="000558E6"/>
    <w:rsid w:val="00056DD6"/>
    <w:rsid w:val="000602E9"/>
    <w:rsid w:val="000607B5"/>
    <w:rsid w:val="00065FD7"/>
    <w:rsid w:val="000662FB"/>
    <w:rsid w:val="000700C9"/>
    <w:rsid w:val="00071917"/>
    <w:rsid w:val="00076F6B"/>
    <w:rsid w:val="00080A78"/>
    <w:rsid w:val="00081075"/>
    <w:rsid w:val="00081C48"/>
    <w:rsid w:val="00082548"/>
    <w:rsid w:val="000829CB"/>
    <w:rsid w:val="00082BF3"/>
    <w:rsid w:val="00082E18"/>
    <w:rsid w:val="00085DF5"/>
    <w:rsid w:val="0009123F"/>
    <w:rsid w:val="0009411B"/>
    <w:rsid w:val="000A269C"/>
    <w:rsid w:val="000A2E34"/>
    <w:rsid w:val="000A7F97"/>
    <w:rsid w:val="000B4265"/>
    <w:rsid w:val="000C0763"/>
    <w:rsid w:val="000C1EA9"/>
    <w:rsid w:val="000C396C"/>
    <w:rsid w:val="000C7BB5"/>
    <w:rsid w:val="000D23B9"/>
    <w:rsid w:val="000D473C"/>
    <w:rsid w:val="000D6413"/>
    <w:rsid w:val="000D6DC8"/>
    <w:rsid w:val="000D7721"/>
    <w:rsid w:val="000D7877"/>
    <w:rsid w:val="000E0401"/>
    <w:rsid w:val="000E2725"/>
    <w:rsid w:val="000E4E7E"/>
    <w:rsid w:val="000E7FD6"/>
    <w:rsid w:val="000F0ABD"/>
    <w:rsid w:val="000F1657"/>
    <w:rsid w:val="000F26BC"/>
    <w:rsid w:val="000F27D2"/>
    <w:rsid w:val="000F5F63"/>
    <w:rsid w:val="000F6161"/>
    <w:rsid w:val="000F640C"/>
    <w:rsid w:val="000F6D60"/>
    <w:rsid w:val="00101D33"/>
    <w:rsid w:val="00102F66"/>
    <w:rsid w:val="00103A79"/>
    <w:rsid w:val="00104B1F"/>
    <w:rsid w:val="0010520C"/>
    <w:rsid w:val="00107C3E"/>
    <w:rsid w:val="00115648"/>
    <w:rsid w:val="00115A40"/>
    <w:rsid w:val="0011684C"/>
    <w:rsid w:val="00117C37"/>
    <w:rsid w:val="001203D5"/>
    <w:rsid w:val="001224B0"/>
    <w:rsid w:val="00122C95"/>
    <w:rsid w:val="00123988"/>
    <w:rsid w:val="001239BE"/>
    <w:rsid w:val="00125026"/>
    <w:rsid w:val="00127BE7"/>
    <w:rsid w:val="001311C9"/>
    <w:rsid w:val="001332C6"/>
    <w:rsid w:val="00134DFB"/>
    <w:rsid w:val="0013535B"/>
    <w:rsid w:val="00135892"/>
    <w:rsid w:val="00136EA0"/>
    <w:rsid w:val="00137B4D"/>
    <w:rsid w:val="00141DBC"/>
    <w:rsid w:val="0014301B"/>
    <w:rsid w:val="001460D8"/>
    <w:rsid w:val="001503A0"/>
    <w:rsid w:val="0015117B"/>
    <w:rsid w:val="00151AD8"/>
    <w:rsid w:val="00154586"/>
    <w:rsid w:val="001559BB"/>
    <w:rsid w:val="00155B6E"/>
    <w:rsid w:val="001564F6"/>
    <w:rsid w:val="001573EB"/>
    <w:rsid w:val="00161A2F"/>
    <w:rsid w:val="00161FA9"/>
    <w:rsid w:val="001626ED"/>
    <w:rsid w:val="001627A4"/>
    <w:rsid w:val="00164A3A"/>
    <w:rsid w:val="001707E3"/>
    <w:rsid w:val="00171F8A"/>
    <w:rsid w:val="00172B59"/>
    <w:rsid w:val="0017335B"/>
    <w:rsid w:val="00173A12"/>
    <w:rsid w:val="001748E0"/>
    <w:rsid w:val="00175221"/>
    <w:rsid w:val="001808B9"/>
    <w:rsid w:val="001824C9"/>
    <w:rsid w:val="00182929"/>
    <w:rsid w:val="0018296B"/>
    <w:rsid w:val="001843AA"/>
    <w:rsid w:val="00184F26"/>
    <w:rsid w:val="001851D7"/>
    <w:rsid w:val="001906F2"/>
    <w:rsid w:val="00190D8C"/>
    <w:rsid w:val="00193C66"/>
    <w:rsid w:val="00195582"/>
    <w:rsid w:val="00196A3B"/>
    <w:rsid w:val="00196D35"/>
    <w:rsid w:val="001A03A8"/>
    <w:rsid w:val="001A0B88"/>
    <w:rsid w:val="001A206E"/>
    <w:rsid w:val="001A6A9D"/>
    <w:rsid w:val="001B2872"/>
    <w:rsid w:val="001B63C7"/>
    <w:rsid w:val="001C05B6"/>
    <w:rsid w:val="001D039B"/>
    <w:rsid w:val="001D12A9"/>
    <w:rsid w:val="001D6849"/>
    <w:rsid w:val="001E2648"/>
    <w:rsid w:val="001E4D65"/>
    <w:rsid w:val="001E5DA0"/>
    <w:rsid w:val="001E662E"/>
    <w:rsid w:val="001F2830"/>
    <w:rsid w:val="001F4B38"/>
    <w:rsid w:val="001F61E7"/>
    <w:rsid w:val="002017AF"/>
    <w:rsid w:val="00202DA0"/>
    <w:rsid w:val="0020503E"/>
    <w:rsid w:val="002110BE"/>
    <w:rsid w:val="00211562"/>
    <w:rsid w:val="00213032"/>
    <w:rsid w:val="00213488"/>
    <w:rsid w:val="00216DCA"/>
    <w:rsid w:val="00221149"/>
    <w:rsid w:val="00221726"/>
    <w:rsid w:val="00222444"/>
    <w:rsid w:val="002225FE"/>
    <w:rsid w:val="00222A09"/>
    <w:rsid w:val="00223FE0"/>
    <w:rsid w:val="00224100"/>
    <w:rsid w:val="00225948"/>
    <w:rsid w:val="00225C80"/>
    <w:rsid w:val="00225F9B"/>
    <w:rsid w:val="00232DCB"/>
    <w:rsid w:val="00234EA1"/>
    <w:rsid w:val="00245806"/>
    <w:rsid w:val="002468A2"/>
    <w:rsid w:val="00247183"/>
    <w:rsid w:val="002475D2"/>
    <w:rsid w:val="00247E5A"/>
    <w:rsid w:val="00252A8F"/>
    <w:rsid w:val="0025374B"/>
    <w:rsid w:val="00253B61"/>
    <w:rsid w:val="00253FF7"/>
    <w:rsid w:val="002561FB"/>
    <w:rsid w:val="002577D9"/>
    <w:rsid w:val="002619B9"/>
    <w:rsid w:val="00261A93"/>
    <w:rsid w:val="00261C4D"/>
    <w:rsid w:val="00262158"/>
    <w:rsid w:val="0026430A"/>
    <w:rsid w:val="00266056"/>
    <w:rsid w:val="00266436"/>
    <w:rsid w:val="00271122"/>
    <w:rsid w:val="00273583"/>
    <w:rsid w:val="002779BC"/>
    <w:rsid w:val="002813F2"/>
    <w:rsid w:val="002834EA"/>
    <w:rsid w:val="00284B14"/>
    <w:rsid w:val="00285AE8"/>
    <w:rsid w:val="00286F7D"/>
    <w:rsid w:val="00294577"/>
    <w:rsid w:val="00294E36"/>
    <w:rsid w:val="00295008"/>
    <w:rsid w:val="002960F6"/>
    <w:rsid w:val="002966A0"/>
    <w:rsid w:val="002A18F7"/>
    <w:rsid w:val="002A7968"/>
    <w:rsid w:val="002C10B1"/>
    <w:rsid w:val="002C41C8"/>
    <w:rsid w:val="002C4FFF"/>
    <w:rsid w:val="002C5B0B"/>
    <w:rsid w:val="002C6ED9"/>
    <w:rsid w:val="002C78EB"/>
    <w:rsid w:val="002D05DB"/>
    <w:rsid w:val="002D2D4D"/>
    <w:rsid w:val="002D4185"/>
    <w:rsid w:val="002E2302"/>
    <w:rsid w:val="002F21F9"/>
    <w:rsid w:val="002F3DF7"/>
    <w:rsid w:val="002F3E61"/>
    <w:rsid w:val="002F486B"/>
    <w:rsid w:val="002F5056"/>
    <w:rsid w:val="002F77BF"/>
    <w:rsid w:val="00300907"/>
    <w:rsid w:val="00301B82"/>
    <w:rsid w:val="00301EAD"/>
    <w:rsid w:val="00303F56"/>
    <w:rsid w:val="003043B1"/>
    <w:rsid w:val="00304932"/>
    <w:rsid w:val="00304A3F"/>
    <w:rsid w:val="00306448"/>
    <w:rsid w:val="00313AB1"/>
    <w:rsid w:val="003165B9"/>
    <w:rsid w:val="0031744D"/>
    <w:rsid w:val="00322B6D"/>
    <w:rsid w:val="00323EA1"/>
    <w:rsid w:val="003277BE"/>
    <w:rsid w:val="00330381"/>
    <w:rsid w:val="00330DA7"/>
    <w:rsid w:val="003310F6"/>
    <w:rsid w:val="00331AFD"/>
    <w:rsid w:val="00333FA7"/>
    <w:rsid w:val="0033525C"/>
    <w:rsid w:val="00336A93"/>
    <w:rsid w:val="00340EB2"/>
    <w:rsid w:val="00341578"/>
    <w:rsid w:val="00342338"/>
    <w:rsid w:val="0034347F"/>
    <w:rsid w:val="00347BA4"/>
    <w:rsid w:val="00351410"/>
    <w:rsid w:val="0035177B"/>
    <w:rsid w:val="00352F85"/>
    <w:rsid w:val="003554BF"/>
    <w:rsid w:val="003566BB"/>
    <w:rsid w:val="00356FA0"/>
    <w:rsid w:val="003605EC"/>
    <w:rsid w:val="003660D8"/>
    <w:rsid w:val="003664FE"/>
    <w:rsid w:val="00371F5D"/>
    <w:rsid w:val="003736FF"/>
    <w:rsid w:val="00374000"/>
    <w:rsid w:val="0037406A"/>
    <w:rsid w:val="0037487A"/>
    <w:rsid w:val="00374B01"/>
    <w:rsid w:val="003754ED"/>
    <w:rsid w:val="00376EE5"/>
    <w:rsid w:val="003837C5"/>
    <w:rsid w:val="00384DF4"/>
    <w:rsid w:val="00385D12"/>
    <w:rsid w:val="00387583"/>
    <w:rsid w:val="003877BE"/>
    <w:rsid w:val="00395D46"/>
    <w:rsid w:val="003960EF"/>
    <w:rsid w:val="00396A7F"/>
    <w:rsid w:val="003A21B0"/>
    <w:rsid w:val="003A685C"/>
    <w:rsid w:val="003B519E"/>
    <w:rsid w:val="003B602C"/>
    <w:rsid w:val="003C2A2B"/>
    <w:rsid w:val="003C2F6F"/>
    <w:rsid w:val="003C3537"/>
    <w:rsid w:val="003C73BD"/>
    <w:rsid w:val="003D135C"/>
    <w:rsid w:val="003D22F2"/>
    <w:rsid w:val="003D6821"/>
    <w:rsid w:val="003D69BB"/>
    <w:rsid w:val="003E4EF2"/>
    <w:rsid w:val="003F4230"/>
    <w:rsid w:val="003F48D8"/>
    <w:rsid w:val="003F4B5F"/>
    <w:rsid w:val="003F69A6"/>
    <w:rsid w:val="003F7EE5"/>
    <w:rsid w:val="004030A9"/>
    <w:rsid w:val="00404704"/>
    <w:rsid w:val="00404F14"/>
    <w:rsid w:val="004112BC"/>
    <w:rsid w:val="004171FD"/>
    <w:rsid w:val="004205CB"/>
    <w:rsid w:val="00425680"/>
    <w:rsid w:val="00431D31"/>
    <w:rsid w:val="00433333"/>
    <w:rsid w:val="00433855"/>
    <w:rsid w:val="00434829"/>
    <w:rsid w:val="00436668"/>
    <w:rsid w:val="0044558D"/>
    <w:rsid w:val="00445C5D"/>
    <w:rsid w:val="00447D4D"/>
    <w:rsid w:val="0045094D"/>
    <w:rsid w:val="00451BA8"/>
    <w:rsid w:val="004534CB"/>
    <w:rsid w:val="00453A88"/>
    <w:rsid w:val="00454A39"/>
    <w:rsid w:val="00454BD6"/>
    <w:rsid w:val="004565BB"/>
    <w:rsid w:val="00461895"/>
    <w:rsid w:val="00461E6D"/>
    <w:rsid w:val="0046288B"/>
    <w:rsid w:val="0046730E"/>
    <w:rsid w:val="00467898"/>
    <w:rsid w:val="004715BC"/>
    <w:rsid w:val="004719D9"/>
    <w:rsid w:val="00472061"/>
    <w:rsid w:val="00473639"/>
    <w:rsid w:val="00474D60"/>
    <w:rsid w:val="00476531"/>
    <w:rsid w:val="00483550"/>
    <w:rsid w:val="00484042"/>
    <w:rsid w:val="00484EF2"/>
    <w:rsid w:val="004859DA"/>
    <w:rsid w:val="00485C6F"/>
    <w:rsid w:val="00487588"/>
    <w:rsid w:val="004908C9"/>
    <w:rsid w:val="004928FF"/>
    <w:rsid w:val="004978F2"/>
    <w:rsid w:val="004A4F47"/>
    <w:rsid w:val="004A6CBF"/>
    <w:rsid w:val="004A77A2"/>
    <w:rsid w:val="004B1D64"/>
    <w:rsid w:val="004B24D8"/>
    <w:rsid w:val="004B3C26"/>
    <w:rsid w:val="004B42DB"/>
    <w:rsid w:val="004B6ED2"/>
    <w:rsid w:val="004C1E7B"/>
    <w:rsid w:val="004D07D5"/>
    <w:rsid w:val="004D10FB"/>
    <w:rsid w:val="004D16E3"/>
    <w:rsid w:val="004D29C0"/>
    <w:rsid w:val="004D4293"/>
    <w:rsid w:val="004D47A7"/>
    <w:rsid w:val="004E0028"/>
    <w:rsid w:val="004E041D"/>
    <w:rsid w:val="004E2EA1"/>
    <w:rsid w:val="004E3DFB"/>
    <w:rsid w:val="004E5209"/>
    <w:rsid w:val="004E531A"/>
    <w:rsid w:val="004E5CF2"/>
    <w:rsid w:val="004E7240"/>
    <w:rsid w:val="004E7556"/>
    <w:rsid w:val="004F171A"/>
    <w:rsid w:val="004F33F3"/>
    <w:rsid w:val="004F4DDB"/>
    <w:rsid w:val="004F5212"/>
    <w:rsid w:val="004F5632"/>
    <w:rsid w:val="005022EE"/>
    <w:rsid w:val="00502882"/>
    <w:rsid w:val="005066E6"/>
    <w:rsid w:val="00511AB8"/>
    <w:rsid w:val="0051216A"/>
    <w:rsid w:val="00512A29"/>
    <w:rsid w:val="00512F9D"/>
    <w:rsid w:val="00513174"/>
    <w:rsid w:val="005133AD"/>
    <w:rsid w:val="0051477B"/>
    <w:rsid w:val="00515EEA"/>
    <w:rsid w:val="00520F94"/>
    <w:rsid w:val="00522164"/>
    <w:rsid w:val="005229E6"/>
    <w:rsid w:val="00523CA7"/>
    <w:rsid w:val="005257BA"/>
    <w:rsid w:val="0052750B"/>
    <w:rsid w:val="005350C9"/>
    <w:rsid w:val="0053587C"/>
    <w:rsid w:val="00536ECA"/>
    <w:rsid w:val="00540499"/>
    <w:rsid w:val="005454C5"/>
    <w:rsid w:val="00545800"/>
    <w:rsid w:val="00546294"/>
    <w:rsid w:val="005475D2"/>
    <w:rsid w:val="005529CB"/>
    <w:rsid w:val="0055635A"/>
    <w:rsid w:val="0056028A"/>
    <w:rsid w:val="00560C0B"/>
    <w:rsid w:val="00561A92"/>
    <w:rsid w:val="00562BFF"/>
    <w:rsid w:val="00562C1D"/>
    <w:rsid w:val="00564AA5"/>
    <w:rsid w:val="00565251"/>
    <w:rsid w:val="00565638"/>
    <w:rsid w:val="005665D7"/>
    <w:rsid w:val="005674E7"/>
    <w:rsid w:val="00570265"/>
    <w:rsid w:val="00571AA7"/>
    <w:rsid w:val="005728C3"/>
    <w:rsid w:val="00572B9E"/>
    <w:rsid w:val="005779C6"/>
    <w:rsid w:val="00577EDA"/>
    <w:rsid w:val="00580276"/>
    <w:rsid w:val="00592604"/>
    <w:rsid w:val="005958DA"/>
    <w:rsid w:val="0059723C"/>
    <w:rsid w:val="005976B3"/>
    <w:rsid w:val="005A058A"/>
    <w:rsid w:val="005A1599"/>
    <w:rsid w:val="005A7434"/>
    <w:rsid w:val="005B2FC5"/>
    <w:rsid w:val="005B32ED"/>
    <w:rsid w:val="005B3E7A"/>
    <w:rsid w:val="005B4851"/>
    <w:rsid w:val="005B4F29"/>
    <w:rsid w:val="005C0C60"/>
    <w:rsid w:val="005C2231"/>
    <w:rsid w:val="005C3980"/>
    <w:rsid w:val="005C4D3E"/>
    <w:rsid w:val="005D0E74"/>
    <w:rsid w:val="005D48B8"/>
    <w:rsid w:val="005D5A31"/>
    <w:rsid w:val="005E2718"/>
    <w:rsid w:val="005E4676"/>
    <w:rsid w:val="005E7DEA"/>
    <w:rsid w:val="005F4893"/>
    <w:rsid w:val="005F53C3"/>
    <w:rsid w:val="005F5562"/>
    <w:rsid w:val="00600401"/>
    <w:rsid w:val="00602C2B"/>
    <w:rsid w:val="006064A8"/>
    <w:rsid w:val="00610D25"/>
    <w:rsid w:val="00610D72"/>
    <w:rsid w:val="0061426C"/>
    <w:rsid w:val="006144BE"/>
    <w:rsid w:val="006151F7"/>
    <w:rsid w:val="00615613"/>
    <w:rsid w:val="00617BAA"/>
    <w:rsid w:val="00620003"/>
    <w:rsid w:val="0062228F"/>
    <w:rsid w:val="006241D7"/>
    <w:rsid w:val="00624EEB"/>
    <w:rsid w:val="00631349"/>
    <w:rsid w:val="006332B1"/>
    <w:rsid w:val="00634EDD"/>
    <w:rsid w:val="00635032"/>
    <w:rsid w:val="006361EF"/>
    <w:rsid w:val="006410C1"/>
    <w:rsid w:val="00642DC2"/>
    <w:rsid w:val="006433EC"/>
    <w:rsid w:val="00643B40"/>
    <w:rsid w:val="0064735B"/>
    <w:rsid w:val="00650C49"/>
    <w:rsid w:val="0065112E"/>
    <w:rsid w:val="00651925"/>
    <w:rsid w:val="00651F5B"/>
    <w:rsid w:val="00652077"/>
    <w:rsid w:val="00652BC8"/>
    <w:rsid w:val="00652F96"/>
    <w:rsid w:val="0065300B"/>
    <w:rsid w:val="00653285"/>
    <w:rsid w:val="00653F03"/>
    <w:rsid w:val="00655863"/>
    <w:rsid w:val="00656C7E"/>
    <w:rsid w:val="00663AE2"/>
    <w:rsid w:val="00664A15"/>
    <w:rsid w:val="00665CA1"/>
    <w:rsid w:val="00666848"/>
    <w:rsid w:val="00667CE5"/>
    <w:rsid w:val="006706EB"/>
    <w:rsid w:val="00672494"/>
    <w:rsid w:val="006763FB"/>
    <w:rsid w:val="0067727F"/>
    <w:rsid w:val="00680137"/>
    <w:rsid w:val="00680E74"/>
    <w:rsid w:val="00681DC7"/>
    <w:rsid w:val="00682F60"/>
    <w:rsid w:val="006840EA"/>
    <w:rsid w:val="00685B2D"/>
    <w:rsid w:val="00685CA8"/>
    <w:rsid w:val="00690BD4"/>
    <w:rsid w:val="00691188"/>
    <w:rsid w:val="00693D2A"/>
    <w:rsid w:val="006950AB"/>
    <w:rsid w:val="006957AC"/>
    <w:rsid w:val="006973AB"/>
    <w:rsid w:val="006A0285"/>
    <w:rsid w:val="006A2AA2"/>
    <w:rsid w:val="006A37DC"/>
    <w:rsid w:val="006A5094"/>
    <w:rsid w:val="006B28DF"/>
    <w:rsid w:val="006B7466"/>
    <w:rsid w:val="006C1CBB"/>
    <w:rsid w:val="006C39DD"/>
    <w:rsid w:val="006C479D"/>
    <w:rsid w:val="006C6A33"/>
    <w:rsid w:val="006D003F"/>
    <w:rsid w:val="006D0559"/>
    <w:rsid w:val="006D187B"/>
    <w:rsid w:val="006D35D7"/>
    <w:rsid w:val="006D457E"/>
    <w:rsid w:val="006D4D75"/>
    <w:rsid w:val="006D6350"/>
    <w:rsid w:val="006D68BE"/>
    <w:rsid w:val="006E21B1"/>
    <w:rsid w:val="006E332D"/>
    <w:rsid w:val="006E3666"/>
    <w:rsid w:val="006E3AD6"/>
    <w:rsid w:val="006E5D5A"/>
    <w:rsid w:val="006F335E"/>
    <w:rsid w:val="006F4FEE"/>
    <w:rsid w:val="006F7C1E"/>
    <w:rsid w:val="00701F18"/>
    <w:rsid w:val="00705D88"/>
    <w:rsid w:val="0071023C"/>
    <w:rsid w:val="00711A77"/>
    <w:rsid w:val="007123AC"/>
    <w:rsid w:val="00713D58"/>
    <w:rsid w:val="00714C07"/>
    <w:rsid w:val="007171DA"/>
    <w:rsid w:val="007211DA"/>
    <w:rsid w:val="0072140F"/>
    <w:rsid w:val="00730B94"/>
    <w:rsid w:val="00734E87"/>
    <w:rsid w:val="00735312"/>
    <w:rsid w:val="007355CE"/>
    <w:rsid w:val="00736F82"/>
    <w:rsid w:val="007418D3"/>
    <w:rsid w:val="0074244A"/>
    <w:rsid w:val="00742F95"/>
    <w:rsid w:val="007434F4"/>
    <w:rsid w:val="00743777"/>
    <w:rsid w:val="00743D6C"/>
    <w:rsid w:val="00745A33"/>
    <w:rsid w:val="007509D3"/>
    <w:rsid w:val="00750E02"/>
    <w:rsid w:val="00753465"/>
    <w:rsid w:val="00754310"/>
    <w:rsid w:val="00754BF7"/>
    <w:rsid w:val="00755233"/>
    <w:rsid w:val="007563E8"/>
    <w:rsid w:val="00762FA1"/>
    <w:rsid w:val="0077127F"/>
    <w:rsid w:val="007723B9"/>
    <w:rsid w:val="007736B4"/>
    <w:rsid w:val="00776CEA"/>
    <w:rsid w:val="00777BF0"/>
    <w:rsid w:val="00777DDE"/>
    <w:rsid w:val="00780ECC"/>
    <w:rsid w:val="0078233E"/>
    <w:rsid w:val="0078329D"/>
    <w:rsid w:val="00786BE6"/>
    <w:rsid w:val="00791455"/>
    <w:rsid w:val="00792198"/>
    <w:rsid w:val="00796760"/>
    <w:rsid w:val="007A1A63"/>
    <w:rsid w:val="007A2423"/>
    <w:rsid w:val="007A2C9A"/>
    <w:rsid w:val="007A48F0"/>
    <w:rsid w:val="007A4ACA"/>
    <w:rsid w:val="007B1A5F"/>
    <w:rsid w:val="007B3220"/>
    <w:rsid w:val="007B4394"/>
    <w:rsid w:val="007B63C6"/>
    <w:rsid w:val="007B671D"/>
    <w:rsid w:val="007B74C3"/>
    <w:rsid w:val="007B7FA9"/>
    <w:rsid w:val="007C0AD1"/>
    <w:rsid w:val="007C0B02"/>
    <w:rsid w:val="007C34E1"/>
    <w:rsid w:val="007C39AA"/>
    <w:rsid w:val="007C4C36"/>
    <w:rsid w:val="007C4DE4"/>
    <w:rsid w:val="007C5493"/>
    <w:rsid w:val="007C6289"/>
    <w:rsid w:val="007D42D6"/>
    <w:rsid w:val="007D4780"/>
    <w:rsid w:val="007D6214"/>
    <w:rsid w:val="007E08E5"/>
    <w:rsid w:val="007E1DEE"/>
    <w:rsid w:val="007E3E9B"/>
    <w:rsid w:val="007E4A8E"/>
    <w:rsid w:val="007E6C4F"/>
    <w:rsid w:val="007E7968"/>
    <w:rsid w:val="007E7BB2"/>
    <w:rsid w:val="007F3EBA"/>
    <w:rsid w:val="007F7366"/>
    <w:rsid w:val="00800161"/>
    <w:rsid w:val="00803A69"/>
    <w:rsid w:val="00804289"/>
    <w:rsid w:val="00806AE1"/>
    <w:rsid w:val="00806E75"/>
    <w:rsid w:val="00810C7D"/>
    <w:rsid w:val="00811229"/>
    <w:rsid w:val="0081249F"/>
    <w:rsid w:val="00812DF8"/>
    <w:rsid w:val="00813DB5"/>
    <w:rsid w:val="008161E5"/>
    <w:rsid w:val="00822093"/>
    <w:rsid w:val="008222FF"/>
    <w:rsid w:val="00824B17"/>
    <w:rsid w:val="00825953"/>
    <w:rsid w:val="00834570"/>
    <w:rsid w:val="00836EE8"/>
    <w:rsid w:val="00837D25"/>
    <w:rsid w:val="00854491"/>
    <w:rsid w:val="00855AC3"/>
    <w:rsid w:val="00856E64"/>
    <w:rsid w:val="00857945"/>
    <w:rsid w:val="00863BCE"/>
    <w:rsid w:val="00864141"/>
    <w:rsid w:val="0086567A"/>
    <w:rsid w:val="00871F65"/>
    <w:rsid w:val="008726EA"/>
    <w:rsid w:val="008729D8"/>
    <w:rsid w:val="00873369"/>
    <w:rsid w:val="00881704"/>
    <w:rsid w:val="0088513D"/>
    <w:rsid w:val="00886E75"/>
    <w:rsid w:val="008900C3"/>
    <w:rsid w:val="00892B03"/>
    <w:rsid w:val="00894C6A"/>
    <w:rsid w:val="0089603F"/>
    <w:rsid w:val="008963B2"/>
    <w:rsid w:val="00896B98"/>
    <w:rsid w:val="008977E4"/>
    <w:rsid w:val="00897876"/>
    <w:rsid w:val="008A08C1"/>
    <w:rsid w:val="008A274F"/>
    <w:rsid w:val="008A36C2"/>
    <w:rsid w:val="008A3C86"/>
    <w:rsid w:val="008B0CD1"/>
    <w:rsid w:val="008B134C"/>
    <w:rsid w:val="008B1417"/>
    <w:rsid w:val="008B1EDB"/>
    <w:rsid w:val="008B627A"/>
    <w:rsid w:val="008B7E74"/>
    <w:rsid w:val="008C11E8"/>
    <w:rsid w:val="008C6F7E"/>
    <w:rsid w:val="008C74E0"/>
    <w:rsid w:val="008C767D"/>
    <w:rsid w:val="008D0AD8"/>
    <w:rsid w:val="008D3745"/>
    <w:rsid w:val="008D39C3"/>
    <w:rsid w:val="008D3D1E"/>
    <w:rsid w:val="008D4980"/>
    <w:rsid w:val="008E21CA"/>
    <w:rsid w:val="008E47B8"/>
    <w:rsid w:val="008E4F7F"/>
    <w:rsid w:val="008E4F98"/>
    <w:rsid w:val="008E661D"/>
    <w:rsid w:val="008E7533"/>
    <w:rsid w:val="008F1A4F"/>
    <w:rsid w:val="008F2D71"/>
    <w:rsid w:val="008F429D"/>
    <w:rsid w:val="008F77A2"/>
    <w:rsid w:val="00905931"/>
    <w:rsid w:val="009120D3"/>
    <w:rsid w:val="009124EF"/>
    <w:rsid w:val="00913279"/>
    <w:rsid w:val="00915579"/>
    <w:rsid w:val="00917EF5"/>
    <w:rsid w:val="009201FC"/>
    <w:rsid w:val="009216C5"/>
    <w:rsid w:val="0092203E"/>
    <w:rsid w:val="00922DCA"/>
    <w:rsid w:val="00924427"/>
    <w:rsid w:val="00926785"/>
    <w:rsid w:val="009319C6"/>
    <w:rsid w:val="00931A49"/>
    <w:rsid w:val="00933622"/>
    <w:rsid w:val="00936D95"/>
    <w:rsid w:val="009408FB"/>
    <w:rsid w:val="00940C5A"/>
    <w:rsid w:val="00945A66"/>
    <w:rsid w:val="009460A7"/>
    <w:rsid w:val="0094750F"/>
    <w:rsid w:val="009513B7"/>
    <w:rsid w:val="00955114"/>
    <w:rsid w:val="00955775"/>
    <w:rsid w:val="009603F8"/>
    <w:rsid w:val="009609BA"/>
    <w:rsid w:val="00962F4C"/>
    <w:rsid w:val="00965704"/>
    <w:rsid w:val="009662CA"/>
    <w:rsid w:val="00966CA8"/>
    <w:rsid w:val="009714DA"/>
    <w:rsid w:val="00971E33"/>
    <w:rsid w:val="00972446"/>
    <w:rsid w:val="009729DB"/>
    <w:rsid w:val="009756D8"/>
    <w:rsid w:val="009840A4"/>
    <w:rsid w:val="00984DA5"/>
    <w:rsid w:val="009862DD"/>
    <w:rsid w:val="00986E53"/>
    <w:rsid w:val="009912D2"/>
    <w:rsid w:val="00991E04"/>
    <w:rsid w:val="00992A3B"/>
    <w:rsid w:val="00992A7F"/>
    <w:rsid w:val="00993F62"/>
    <w:rsid w:val="009942E1"/>
    <w:rsid w:val="009967CC"/>
    <w:rsid w:val="0099680D"/>
    <w:rsid w:val="009970E6"/>
    <w:rsid w:val="009A035E"/>
    <w:rsid w:val="009A2D31"/>
    <w:rsid w:val="009A4E3C"/>
    <w:rsid w:val="009B0FB5"/>
    <w:rsid w:val="009B1230"/>
    <w:rsid w:val="009B4BA2"/>
    <w:rsid w:val="009B7641"/>
    <w:rsid w:val="009C1474"/>
    <w:rsid w:val="009C2B60"/>
    <w:rsid w:val="009C3412"/>
    <w:rsid w:val="009C56D6"/>
    <w:rsid w:val="009C660C"/>
    <w:rsid w:val="009C6752"/>
    <w:rsid w:val="009C78B9"/>
    <w:rsid w:val="009D1877"/>
    <w:rsid w:val="009D2A15"/>
    <w:rsid w:val="009D2B8F"/>
    <w:rsid w:val="009D4404"/>
    <w:rsid w:val="009D59FD"/>
    <w:rsid w:val="009E01D6"/>
    <w:rsid w:val="009E01FA"/>
    <w:rsid w:val="009E193D"/>
    <w:rsid w:val="009E1B07"/>
    <w:rsid w:val="009E1F60"/>
    <w:rsid w:val="009E313E"/>
    <w:rsid w:val="009E47AB"/>
    <w:rsid w:val="009E649E"/>
    <w:rsid w:val="009E685E"/>
    <w:rsid w:val="009E72B8"/>
    <w:rsid w:val="009E7741"/>
    <w:rsid w:val="009F1268"/>
    <w:rsid w:val="009F7FA2"/>
    <w:rsid w:val="00A00776"/>
    <w:rsid w:val="00A007C3"/>
    <w:rsid w:val="00A00A8B"/>
    <w:rsid w:val="00A01712"/>
    <w:rsid w:val="00A02853"/>
    <w:rsid w:val="00A031F9"/>
    <w:rsid w:val="00A04925"/>
    <w:rsid w:val="00A068E2"/>
    <w:rsid w:val="00A10A75"/>
    <w:rsid w:val="00A11F1D"/>
    <w:rsid w:val="00A1208E"/>
    <w:rsid w:val="00A12139"/>
    <w:rsid w:val="00A17142"/>
    <w:rsid w:val="00A20136"/>
    <w:rsid w:val="00A2019D"/>
    <w:rsid w:val="00A23139"/>
    <w:rsid w:val="00A2386B"/>
    <w:rsid w:val="00A23F54"/>
    <w:rsid w:val="00A2560A"/>
    <w:rsid w:val="00A26C49"/>
    <w:rsid w:val="00A27610"/>
    <w:rsid w:val="00A33319"/>
    <w:rsid w:val="00A3529B"/>
    <w:rsid w:val="00A36F31"/>
    <w:rsid w:val="00A40FFD"/>
    <w:rsid w:val="00A4397D"/>
    <w:rsid w:val="00A44D22"/>
    <w:rsid w:val="00A4513C"/>
    <w:rsid w:val="00A54CF6"/>
    <w:rsid w:val="00A54FA6"/>
    <w:rsid w:val="00A5506D"/>
    <w:rsid w:val="00A5511A"/>
    <w:rsid w:val="00A57043"/>
    <w:rsid w:val="00A639C1"/>
    <w:rsid w:val="00A63FCD"/>
    <w:rsid w:val="00A640E2"/>
    <w:rsid w:val="00A737E5"/>
    <w:rsid w:val="00A73966"/>
    <w:rsid w:val="00A741CB"/>
    <w:rsid w:val="00A755C7"/>
    <w:rsid w:val="00A75A1D"/>
    <w:rsid w:val="00A81C92"/>
    <w:rsid w:val="00A83D81"/>
    <w:rsid w:val="00A859A8"/>
    <w:rsid w:val="00A862D6"/>
    <w:rsid w:val="00A90EC1"/>
    <w:rsid w:val="00A91091"/>
    <w:rsid w:val="00A92D65"/>
    <w:rsid w:val="00A94CFC"/>
    <w:rsid w:val="00A961E9"/>
    <w:rsid w:val="00AA0147"/>
    <w:rsid w:val="00AA073E"/>
    <w:rsid w:val="00AA1AA7"/>
    <w:rsid w:val="00AA3152"/>
    <w:rsid w:val="00AA4915"/>
    <w:rsid w:val="00AA5608"/>
    <w:rsid w:val="00AA6E3E"/>
    <w:rsid w:val="00AB162D"/>
    <w:rsid w:val="00AB2533"/>
    <w:rsid w:val="00AB30AE"/>
    <w:rsid w:val="00AB3725"/>
    <w:rsid w:val="00AB7F71"/>
    <w:rsid w:val="00AC1335"/>
    <w:rsid w:val="00AC4E49"/>
    <w:rsid w:val="00AC5718"/>
    <w:rsid w:val="00AC5C2C"/>
    <w:rsid w:val="00AC77E9"/>
    <w:rsid w:val="00AD0619"/>
    <w:rsid w:val="00AD0EA8"/>
    <w:rsid w:val="00AD1CF5"/>
    <w:rsid w:val="00AD262D"/>
    <w:rsid w:val="00AD35CD"/>
    <w:rsid w:val="00AD7213"/>
    <w:rsid w:val="00AE04FB"/>
    <w:rsid w:val="00AE1E67"/>
    <w:rsid w:val="00AE2260"/>
    <w:rsid w:val="00AE30EA"/>
    <w:rsid w:val="00AE5C57"/>
    <w:rsid w:val="00AE6998"/>
    <w:rsid w:val="00AE7A50"/>
    <w:rsid w:val="00AE7A6B"/>
    <w:rsid w:val="00AF0AE1"/>
    <w:rsid w:val="00AF2405"/>
    <w:rsid w:val="00AF24EC"/>
    <w:rsid w:val="00AF39B1"/>
    <w:rsid w:val="00AF5556"/>
    <w:rsid w:val="00AF5DBA"/>
    <w:rsid w:val="00B009B4"/>
    <w:rsid w:val="00B04E03"/>
    <w:rsid w:val="00B05CCB"/>
    <w:rsid w:val="00B06F55"/>
    <w:rsid w:val="00B07D37"/>
    <w:rsid w:val="00B14AAE"/>
    <w:rsid w:val="00B15F66"/>
    <w:rsid w:val="00B17708"/>
    <w:rsid w:val="00B2098B"/>
    <w:rsid w:val="00B228C8"/>
    <w:rsid w:val="00B22FC5"/>
    <w:rsid w:val="00B241BF"/>
    <w:rsid w:val="00B2456F"/>
    <w:rsid w:val="00B34A4E"/>
    <w:rsid w:val="00B4130B"/>
    <w:rsid w:val="00B43858"/>
    <w:rsid w:val="00B455EC"/>
    <w:rsid w:val="00B500E5"/>
    <w:rsid w:val="00B514D4"/>
    <w:rsid w:val="00B52335"/>
    <w:rsid w:val="00B57BCE"/>
    <w:rsid w:val="00B57F02"/>
    <w:rsid w:val="00B57F47"/>
    <w:rsid w:val="00B6007D"/>
    <w:rsid w:val="00B606D6"/>
    <w:rsid w:val="00B6096F"/>
    <w:rsid w:val="00B61460"/>
    <w:rsid w:val="00B62144"/>
    <w:rsid w:val="00B632FD"/>
    <w:rsid w:val="00B71A3A"/>
    <w:rsid w:val="00B71FA3"/>
    <w:rsid w:val="00B723C8"/>
    <w:rsid w:val="00B7555C"/>
    <w:rsid w:val="00B759A7"/>
    <w:rsid w:val="00B77282"/>
    <w:rsid w:val="00B7732D"/>
    <w:rsid w:val="00B80F79"/>
    <w:rsid w:val="00B8318C"/>
    <w:rsid w:val="00B876C0"/>
    <w:rsid w:val="00B910E3"/>
    <w:rsid w:val="00B92532"/>
    <w:rsid w:val="00B94130"/>
    <w:rsid w:val="00B97B3F"/>
    <w:rsid w:val="00BA3A2B"/>
    <w:rsid w:val="00BA440E"/>
    <w:rsid w:val="00BA580F"/>
    <w:rsid w:val="00BA58C7"/>
    <w:rsid w:val="00BA5CF6"/>
    <w:rsid w:val="00BB311D"/>
    <w:rsid w:val="00BB3EA1"/>
    <w:rsid w:val="00BB5E8B"/>
    <w:rsid w:val="00BB71F1"/>
    <w:rsid w:val="00BC0845"/>
    <w:rsid w:val="00BC26EC"/>
    <w:rsid w:val="00BC3246"/>
    <w:rsid w:val="00BC3263"/>
    <w:rsid w:val="00BC3E42"/>
    <w:rsid w:val="00BC3F7B"/>
    <w:rsid w:val="00BC4767"/>
    <w:rsid w:val="00BC4DED"/>
    <w:rsid w:val="00BC5E0A"/>
    <w:rsid w:val="00BC6F12"/>
    <w:rsid w:val="00BC75D3"/>
    <w:rsid w:val="00BD1370"/>
    <w:rsid w:val="00BD1B29"/>
    <w:rsid w:val="00BD5C9C"/>
    <w:rsid w:val="00BD6077"/>
    <w:rsid w:val="00BD68E1"/>
    <w:rsid w:val="00BE1DB6"/>
    <w:rsid w:val="00BE3913"/>
    <w:rsid w:val="00BE4AE9"/>
    <w:rsid w:val="00BE5902"/>
    <w:rsid w:val="00BE7D87"/>
    <w:rsid w:val="00BF0681"/>
    <w:rsid w:val="00BF1E51"/>
    <w:rsid w:val="00BF34FA"/>
    <w:rsid w:val="00BF368A"/>
    <w:rsid w:val="00BF3B73"/>
    <w:rsid w:val="00BF403B"/>
    <w:rsid w:val="00BF58C6"/>
    <w:rsid w:val="00BF6CA3"/>
    <w:rsid w:val="00C0128D"/>
    <w:rsid w:val="00C02214"/>
    <w:rsid w:val="00C02FF6"/>
    <w:rsid w:val="00C03C2E"/>
    <w:rsid w:val="00C03CAE"/>
    <w:rsid w:val="00C0601B"/>
    <w:rsid w:val="00C0680D"/>
    <w:rsid w:val="00C108DE"/>
    <w:rsid w:val="00C11907"/>
    <w:rsid w:val="00C1219F"/>
    <w:rsid w:val="00C122F8"/>
    <w:rsid w:val="00C16238"/>
    <w:rsid w:val="00C17B18"/>
    <w:rsid w:val="00C20395"/>
    <w:rsid w:val="00C20864"/>
    <w:rsid w:val="00C21A4A"/>
    <w:rsid w:val="00C252E9"/>
    <w:rsid w:val="00C25414"/>
    <w:rsid w:val="00C32274"/>
    <w:rsid w:val="00C33160"/>
    <w:rsid w:val="00C36F13"/>
    <w:rsid w:val="00C4069B"/>
    <w:rsid w:val="00C41D71"/>
    <w:rsid w:val="00C42577"/>
    <w:rsid w:val="00C4273A"/>
    <w:rsid w:val="00C447E5"/>
    <w:rsid w:val="00C456E1"/>
    <w:rsid w:val="00C4576B"/>
    <w:rsid w:val="00C45A16"/>
    <w:rsid w:val="00C51533"/>
    <w:rsid w:val="00C54A6A"/>
    <w:rsid w:val="00C56BC8"/>
    <w:rsid w:val="00C6034A"/>
    <w:rsid w:val="00C60FFB"/>
    <w:rsid w:val="00C62D6B"/>
    <w:rsid w:val="00C64E38"/>
    <w:rsid w:val="00C64F4A"/>
    <w:rsid w:val="00C70438"/>
    <w:rsid w:val="00C715A7"/>
    <w:rsid w:val="00C72FE1"/>
    <w:rsid w:val="00C74CF1"/>
    <w:rsid w:val="00C75AEA"/>
    <w:rsid w:val="00C807E6"/>
    <w:rsid w:val="00C82CE9"/>
    <w:rsid w:val="00C854F1"/>
    <w:rsid w:val="00C869BF"/>
    <w:rsid w:val="00C874EB"/>
    <w:rsid w:val="00C87FBE"/>
    <w:rsid w:val="00C929E1"/>
    <w:rsid w:val="00C952A6"/>
    <w:rsid w:val="00CA1A6C"/>
    <w:rsid w:val="00CA3094"/>
    <w:rsid w:val="00CA4E90"/>
    <w:rsid w:val="00CA681E"/>
    <w:rsid w:val="00CA69AB"/>
    <w:rsid w:val="00CB0EAF"/>
    <w:rsid w:val="00CB5E8F"/>
    <w:rsid w:val="00CC15FF"/>
    <w:rsid w:val="00CC46AC"/>
    <w:rsid w:val="00CC597F"/>
    <w:rsid w:val="00CC67A5"/>
    <w:rsid w:val="00CD0693"/>
    <w:rsid w:val="00CD177B"/>
    <w:rsid w:val="00CD5CC4"/>
    <w:rsid w:val="00CE0496"/>
    <w:rsid w:val="00CE3F79"/>
    <w:rsid w:val="00CE6944"/>
    <w:rsid w:val="00CE7BEF"/>
    <w:rsid w:val="00CF6920"/>
    <w:rsid w:val="00CF7821"/>
    <w:rsid w:val="00D01C25"/>
    <w:rsid w:val="00D066AF"/>
    <w:rsid w:val="00D10720"/>
    <w:rsid w:val="00D11BA3"/>
    <w:rsid w:val="00D122C9"/>
    <w:rsid w:val="00D13D7D"/>
    <w:rsid w:val="00D16823"/>
    <w:rsid w:val="00D22074"/>
    <w:rsid w:val="00D227F4"/>
    <w:rsid w:val="00D23822"/>
    <w:rsid w:val="00D27637"/>
    <w:rsid w:val="00D3047A"/>
    <w:rsid w:val="00D30E2F"/>
    <w:rsid w:val="00D31D5C"/>
    <w:rsid w:val="00D33A70"/>
    <w:rsid w:val="00D35F1B"/>
    <w:rsid w:val="00D42D0F"/>
    <w:rsid w:val="00D45024"/>
    <w:rsid w:val="00D4547B"/>
    <w:rsid w:val="00D46D80"/>
    <w:rsid w:val="00D50070"/>
    <w:rsid w:val="00D504DD"/>
    <w:rsid w:val="00D507DE"/>
    <w:rsid w:val="00D52927"/>
    <w:rsid w:val="00D52C36"/>
    <w:rsid w:val="00D62C4C"/>
    <w:rsid w:val="00D64E66"/>
    <w:rsid w:val="00D65082"/>
    <w:rsid w:val="00D65728"/>
    <w:rsid w:val="00D66BA3"/>
    <w:rsid w:val="00D706BE"/>
    <w:rsid w:val="00D801D6"/>
    <w:rsid w:val="00D8023F"/>
    <w:rsid w:val="00D82977"/>
    <w:rsid w:val="00D87840"/>
    <w:rsid w:val="00D91341"/>
    <w:rsid w:val="00D94020"/>
    <w:rsid w:val="00D940D7"/>
    <w:rsid w:val="00DA053C"/>
    <w:rsid w:val="00DA1AA8"/>
    <w:rsid w:val="00DA1B60"/>
    <w:rsid w:val="00DA6011"/>
    <w:rsid w:val="00DA6D21"/>
    <w:rsid w:val="00DA7D37"/>
    <w:rsid w:val="00DB00BD"/>
    <w:rsid w:val="00DB0A36"/>
    <w:rsid w:val="00DB1DB3"/>
    <w:rsid w:val="00DB6283"/>
    <w:rsid w:val="00DC0A9E"/>
    <w:rsid w:val="00DC28AB"/>
    <w:rsid w:val="00DC4C18"/>
    <w:rsid w:val="00DC682B"/>
    <w:rsid w:val="00DC7776"/>
    <w:rsid w:val="00DC77C4"/>
    <w:rsid w:val="00DD2D1A"/>
    <w:rsid w:val="00DD32DD"/>
    <w:rsid w:val="00DD6948"/>
    <w:rsid w:val="00DD6B82"/>
    <w:rsid w:val="00DE06AF"/>
    <w:rsid w:val="00DE4CDA"/>
    <w:rsid w:val="00DE4FE9"/>
    <w:rsid w:val="00DE6E58"/>
    <w:rsid w:val="00DF092D"/>
    <w:rsid w:val="00DF239A"/>
    <w:rsid w:val="00DF33F7"/>
    <w:rsid w:val="00E015CD"/>
    <w:rsid w:val="00E029E5"/>
    <w:rsid w:val="00E03437"/>
    <w:rsid w:val="00E05D6B"/>
    <w:rsid w:val="00E07B69"/>
    <w:rsid w:val="00E10DCE"/>
    <w:rsid w:val="00E12668"/>
    <w:rsid w:val="00E14F85"/>
    <w:rsid w:val="00E156BA"/>
    <w:rsid w:val="00E15932"/>
    <w:rsid w:val="00E15B19"/>
    <w:rsid w:val="00E162A8"/>
    <w:rsid w:val="00E16F8F"/>
    <w:rsid w:val="00E200BD"/>
    <w:rsid w:val="00E202C8"/>
    <w:rsid w:val="00E20CE3"/>
    <w:rsid w:val="00E21DCF"/>
    <w:rsid w:val="00E23C6B"/>
    <w:rsid w:val="00E24590"/>
    <w:rsid w:val="00E24924"/>
    <w:rsid w:val="00E25857"/>
    <w:rsid w:val="00E25EFA"/>
    <w:rsid w:val="00E30E55"/>
    <w:rsid w:val="00E32902"/>
    <w:rsid w:val="00E33428"/>
    <w:rsid w:val="00E356D0"/>
    <w:rsid w:val="00E37AC8"/>
    <w:rsid w:val="00E433CD"/>
    <w:rsid w:val="00E43C8D"/>
    <w:rsid w:val="00E445F8"/>
    <w:rsid w:val="00E44A94"/>
    <w:rsid w:val="00E45F4A"/>
    <w:rsid w:val="00E4639E"/>
    <w:rsid w:val="00E46774"/>
    <w:rsid w:val="00E46CA0"/>
    <w:rsid w:val="00E50842"/>
    <w:rsid w:val="00E52904"/>
    <w:rsid w:val="00E55326"/>
    <w:rsid w:val="00E61B23"/>
    <w:rsid w:val="00E63852"/>
    <w:rsid w:val="00E64E54"/>
    <w:rsid w:val="00E729AC"/>
    <w:rsid w:val="00E734D0"/>
    <w:rsid w:val="00E74844"/>
    <w:rsid w:val="00E80ABB"/>
    <w:rsid w:val="00E8310A"/>
    <w:rsid w:val="00E8356E"/>
    <w:rsid w:val="00E85827"/>
    <w:rsid w:val="00E85B5A"/>
    <w:rsid w:val="00E86CC0"/>
    <w:rsid w:val="00E87155"/>
    <w:rsid w:val="00E9210A"/>
    <w:rsid w:val="00E954FB"/>
    <w:rsid w:val="00EA4CF8"/>
    <w:rsid w:val="00EA4EBA"/>
    <w:rsid w:val="00EA6962"/>
    <w:rsid w:val="00EA6F32"/>
    <w:rsid w:val="00EA7D76"/>
    <w:rsid w:val="00EB045B"/>
    <w:rsid w:val="00EB1EC9"/>
    <w:rsid w:val="00EC12BB"/>
    <w:rsid w:val="00EC13E3"/>
    <w:rsid w:val="00EC3E49"/>
    <w:rsid w:val="00EC60C8"/>
    <w:rsid w:val="00EC6DD8"/>
    <w:rsid w:val="00ED1DFA"/>
    <w:rsid w:val="00ED4E69"/>
    <w:rsid w:val="00ED501C"/>
    <w:rsid w:val="00ED5C9C"/>
    <w:rsid w:val="00EE0E58"/>
    <w:rsid w:val="00EE29A7"/>
    <w:rsid w:val="00EE4962"/>
    <w:rsid w:val="00EE5435"/>
    <w:rsid w:val="00EE6D34"/>
    <w:rsid w:val="00EF08E1"/>
    <w:rsid w:val="00EF0FC5"/>
    <w:rsid w:val="00EF147D"/>
    <w:rsid w:val="00EF1E60"/>
    <w:rsid w:val="00EF5495"/>
    <w:rsid w:val="00EF5E4A"/>
    <w:rsid w:val="00EF5EFA"/>
    <w:rsid w:val="00F01375"/>
    <w:rsid w:val="00F0673D"/>
    <w:rsid w:val="00F06D60"/>
    <w:rsid w:val="00F07026"/>
    <w:rsid w:val="00F104DA"/>
    <w:rsid w:val="00F1341C"/>
    <w:rsid w:val="00F20015"/>
    <w:rsid w:val="00F20E4B"/>
    <w:rsid w:val="00F21C69"/>
    <w:rsid w:val="00F23E80"/>
    <w:rsid w:val="00F25C68"/>
    <w:rsid w:val="00F270B7"/>
    <w:rsid w:val="00F27B84"/>
    <w:rsid w:val="00F3061E"/>
    <w:rsid w:val="00F315B0"/>
    <w:rsid w:val="00F31AC2"/>
    <w:rsid w:val="00F334A8"/>
    <w:rsid w:val="00F3358C"/>
    <w:rsid w:val="00F406FA"/>
    <w:rsid w:val="00F41D85"/>
    <w:rsid w:val="00F4248A"/>
    <w:rsid w:val="00F51044"/>
    <w:rsid w:val="00F52F56"/>
    <w:rsid w:val="00F53F85"/>
    <w:rsid w:val="00F54B01"/>
    <w:rsid w:val="00F55875"/>
    <w:rsid w:val="00F56589"/>
    <w:rsid w:val="00F5662A"/>
    <w:rsid w:val="00F57B7D"/>
    <w:rsid w:val="00F57DDF"/>
    <w:rsid w:val="00F6075F"/>
    <w:rsid w:val="00F61824"/>
    <w:rsid w:val="00F61D91"/>
    <w:rsid w:val="00F62A39"/>
    <w:rsid w:val="00F63B9D"/>
    <w:rsid w:val="00F657B7"/>
    <w:rsid w:val="00F66499"/>
    <w:rsid w:val="00F706D2"/>
    <w:rsid w:val="00F71048"/>
    <w:rsid w:val="00F720DC"/>
    <w:rsid w:val="00F724F4"/>
    <w:rsid w:val="00F74C17"/>
    <w:rsid w:val="00F74EED"/>
    <w:rsid w:val="00F76798"/>
    <w:rsid w:val="00F836BF"/>
    <w:rsid w:val="00F84A7A"/>
    <w:rsid w:val="00F93C31"/>
    <w:rsid w:val="00FA5197"/>
    <w:rsid w:val="00FA5CFD"/>
    <w:rsid w:val="00FA782A"/>
    <w:rsid w:val="00FB07DB"/>
    <w:rsid w:val="00FB157B"/>
    <w:rsid w:val="00FB1A98"/>
    <w:rsid w:val="00FB1DD6"/>
    <w:rsid w:val="00FB49F7"/>
    <w:rsid w:val="00FB5833"/>
    <w:rsid w:val="00FB5A78"/>
    <w:rsid w:val="00FB6259"/>
    <w:rsid w:val="00FB7D8E"/>
    <w:rsid w:val="00FC3F30"/>
    <w:rsid w:val="00FC414E"/>
    <w:rsid w:val="00FC4B7A"/>
    <w:rsid w:val="00FC6E22"/>
    <w:rsid w:val="00FD3CA4"/>
    <w:rsid w:val="00FD4698"/>
    <w:rsid w:val="00FD4BA6"/>
    <w:rsid w:val="00FD6798"/>
    <w:rsid w:val="00FD76B4"/>
    <w:rsid w:val="00FE2DDA"/>
    <w:rsid w:val="00FE3015"/>
    <w:rsid w:val="00FE3A0F"/>
    <w:rsid w:val="00FE5FFB"/>
    <w:rsid w:val="00FE680B"/>
    <w:rsid w:val="00FE7E2E"/>
    <w:rsid w:val="00FF2891"/>
    <w:rsid w:val="00FF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6BBB1"/>
  <w15:docId w15:val="{82EAB8C7-D8C4-4093-AE38-6ED3C8DF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D22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57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1,bullet,List Paragraph1,VNA - List Paragraph,Table Sequence,List Paragraph11,List Paragraph12,List Paragraph2,Thang2,1.,My checklist,List Paragraph 1,List Paragraph111,Citation List,List Paragraph-rfp content"/>
    <w:basedOn w:val="Normal"/>
    <w:link w:val="ListParagraphChar"/>
    <w:uiPriority w:val="34"/>
    <w:qFormat/>
    <w:rsid w:val="00C4576B"/>
    <w:pPr>
      <w:spacing w:after="200" w:line="276" w:lineRule="auto"/>
      <w:ind w:left="720"/>
      <w:contextualSpacing/>
    </w:pPr>
    <w:rPr>
      <w:rFonts w:asciiTheme="minorHAnsi" w:eastAsiaTheme="minorHAnsi" w:hAnsiTheme="minorHAnsi" w:cstheme="minorBidi"/>
      <w:sz w:val="22"/>
      <w:szCs w:val="22"/>
    </w:rPr>
  </w:style>
  <w:style w:type="character" w:customStyle="1" w:styleId="apple-style-span">
    <w:name w:val="apple-style-span"/>
    <w:basedOn w:val="DefaultParagraphFont"/>
    <w:rsid w:val="00374B01"/>
  </w:style>
  <w:style w:type="paragraph" w:styleId="BalloonText">
    <w:name w:val="Balloon Text"/>
    <w:basedOn w:val="Normal"/>
    <w:link w:val="BalloonTextChar"/>
    <w:rsid w:val="00511AB8"/>
    <w:rPr>
      <w:rFonts w:ascii="Tahoma" w:hAnsi="Tahoma" w:cs="Tahoma"/>
      <w:sz w:val="16"/>
      <w:szCs w:val="16"/>
    </w:rPr>
  </w:style>
  <w:style w:type="character" w:customStyle="1" w:styleId="BalloonTextChar">
    <w:name w:val="Balloon Text Char"/>
    <w:basedOn w:val="DefaultParagraphFont"/>
    <w:link w:val="BalloonText"/>
    <w:rsid w:val="00511AB8"/>
    <w:rPr>
      <w:rFonts w:ascii="Tahoma" w:hAnsi="Tahoma" w:cs="Tahoma"/>
      <w:noProof/>
      <w:sz w:val="16"/>
      <w:szCs w:val="16"/>
    </w:rPr>
  </w:style>
  <w:style w:type="paragraph" w:styleId="Header">
    <w:name w:val="header"/>
    <w:basedOn w:val="Normal"/>
    <w:link w:val="HeaderChar"/>
    <w:rsid w:val="009E193D"/>
    <w:pPr>
      <w:tabs>
        <w:tab w:val="center" w:pos="4680"/>
        <w:tab w:val="right" w:pos="9360"/>
      </w:tabs>
    </w:pPr>
  </w:style>
  <w:style w:type="character" w:customStyle="1" w:styleId="HeaderChar">
    <w:name w:val="Header Char"/>
    <w:basedOn w:val="DefaultParagraphFont"/>
    <w:link w:val="Header"/>
    <w:rsid w:val="009E193D"/>
    <w:rPr>
      <w:noProof/>
      <w:sz w:val="26"/>
      <w:szCs w:val="26"/>
    </w:rPr>
  </w:style>
  <w:style w:type="paragraph" w:styleId="Footer">
    <w:name w:val="footer"/>
    <w:basedOn w:val="Normal"/>
    <w:link w:val="FooterChar"/>
    <w:uiPriority w:val="99"/>
    <w:rsid w:val="009E193D"/>
    <w:pPr>
      <w:tabs>
        <w:tab w:val="center" w:pos="4680"/>
        <w:tab w:val="right" w:pos="9360"/>
      </w:tabs>
    </w:pPr>
  </w:style>
  <w:style w:type="character" w:customStyle="1" w:styleId="FooterChar">
    <w:name w:val="Footer Char"/>
    <w:basedOn w:val="DefaultParagraphFont"/>
    <w:link w:val="Footer"/>
    <w:uiPriority w:val="99"/>
    <w:rsid w:val="009E193D"/>
    <w:rPr>
      <w:noProof/>
      <w:sz w:val="26"/>
      <w:szCs w:val="26"/>
    </w:rPr>
  </w:style>
  <w:style w:type="character" w:styleId="Hyperlink">
    <w:name w:val="Hyperlink"/>
    <w:basedOn w:val="DefaultParagraphFont"/>
    <w:uiPriority w:val="99"/>
    <w:unhideWhenUsed/>
    <w:rsid w:val="008A36C2"/>
    <w:rPr>
      <w:color w:val="0000FF"/>
      <w:u w:val="single"/>
    </w:rPr>
  </w:style>
  <w:style w:type="character" w:customStyle="1" w:styleId="apple-converted-space">
    <w:name w:val="apple-converted-space"/>
    <w:basedOn w:val="DefaultParagraphFont"/>
    <w:rsid w:val="009609BA"/>
  </w:style>
  <w:style w:type="paragraph" w:styleId="ListBullet">
    <w:name w:val="List Bullet"/>
    <w:basedOn w:val="Normal"/>
    <w:rsid w:val="00E162A8"/>
    <w:pPr>
      <w:numPr>
        <w:numId w:val="10"/>
      </w:numPr>
      <w:spacing w:before="120" w:after="120"/>
      <w:ind w:left="1080"/>
      <w:jc w:val="both"/>
    </w:pPr>
    <w:rPr>
      <w:rFonts w:ascii="Arial" w:eastAsia="Arial Unicode MS" w:hAnsi="Arial" w:cs="Angsana New"/>
      <w:color w:val="000080"/>
      <w:sz w:val="22"/>
      <w:lang w:val="en-GB" w:eastAsia="ko-KR"/>
    </w:rPr>
  </w:style>
  <w:style w:type="character" w:customStyle="1" w:styleId="comment">
    <w:name w:val="comment"/>
    <w:basedOn w:val="DefaultParagraphFont"/>
    <w:rsid w:val="00E162A8"/>
  </w:style>
  <w:style w:type="paragraph" w:styleId="NormalWeb">
    <w:name w:val="Normal (Web)"/>
    <w:basedOn w:val="Normal"/>
    <w:uiPriority w:val="99"/>
    <w:unhideWhenUsed/>
    <w:rsid w:val="00EF0FC5"/>
    <w:pPr>
      <w:spacing w:before="100" w:beforeAutospacing="1" w:after="100" w:afterAutospacing="1"/>
    </w:pPr>
  </w:style>
  <w:style w:type="paragraph" w:styleId="Caption">
    <w:name w:val="caption"/>
    <w:basedOn w:val="Normal"/>
    <w:next w:val="Normal"/>
    <w:qFormat/>
    <w:rsid w:val="007C4DE4"/>
    <w:pPr>
      <w:jc w:val="right"/>
    </w:pPr>
    <w:rPr>
      <w:rFonts w:ascii=".VnTime" w:hAnsi=".VnTime"/>
      <w:i/>
      <w:szCs w:val="20"/>
    </w:rPr>
  </w:style>
  <w:style w:type="character" w:customStyle="1" w:styleId="ListParagraphChar">
    <w:name w:val="List Paragraph Char"/>
    <w:aliases w:val="bullet 1 Char,bullet Char,List Paragraph1 Char,VNA - List Paragraph Char,Table Sequence Char,List Paragraph11 Char,List Paragraph12 Char,List Paragraph2 Char,Thang2 Char,1. Char,My checklist Char,List Paragraph 1 Char"/>
    <w:link w:val="ListParagraph"/>
    <w:uiPriority w:val="34"/>
    <w:locked/>
    <w:rsid w:val="002C41C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68995">
      <w:bodyDiv w:val="1"/>
      <w:marLeft w:val="0"/>
      <w:marRight w:val="0"/>
      <w:marTop w:val="0"/>
      <w:marBottom w:val="0"/>
      <w:divBdr>
        <w:top w:val="none" w:sz="0" w:space="0" w:color="auto"/>
        <w:left w:val="none" w:sz="0" w:space="0" w:color="auto"/>
        <w:bottom w:val="none" w:sz="0" w:space="0" w:color="auto"/>
        <w:right w:val="none" w:sz="0" w:space="0" w:color="auto"/>
      </w:divBdr>
    </w:div>
    <w:div w:id="320044355">
      <w:bodyDiv w:val="1"/>
      <w:marLeft w:val="0"/>
      <w:marRight w:val="0"/>
      <w:marTop w:val="0"/>
      <w:marBottom w:val="0"/>
      <w:divBdr>
        <w:top w:val="none" w:sz="0" w:space="0" w:color="auto"/>
        <w:left w:val="none" w:sz="0" w:space="0" w:color="auto"/>
        <w:bottom w:val="none" w:sz="0" w:space="0" w:color="auto"/>
        <w:right w:val="none" w:sz="0" w:space="0" w:color="auto"/>
      </w:divBdr>
    </w:div>
    <w:div w:id="812789789">
      <w:bodyDiv w:val="1"/>
      <w:marLeft w:val="0"/>
      <w:marRight w:val="0"/>
      <w:marTop w:val="0"/>
      <w:marBottom w:val="0"/>
      <w:divBdr>
        <w:top w:val="none" w:sz="0" w:space="0" w:color="auto"/>
        <w:left w:val="none" w:sz="0" w:space="0" w:color="auto"/>
        <w:bottom w:val="none" w:sz="0" w:space="0" w:color="auto"/>
        <w:right w:val="none" w:sz="0" w:space="0" w:color="auto"/>
      </w:divBdr>
      <w:divsChild>
        <w:div w:id="1847012040">
          <w:marLeft w:val="0"/>
          <w:marRight w:val="0"/>
          <w:marTop w:val="0"/>
          <w:marBottom w:val="0"/>
          <w:divBdr>
            <w:top w:val="none" w:sz="0" w:space="0" w:color="auto"/>
            <w:left w:val="none" w:sz="0" w:space="0" w:color="auto"/>
            <w:bottom w:val="none" w:sz="0" w:space="0" w:color="auto"/>
            <w:right w:val="none" w:sz="0" w:space="0" w:color="auto"/>
          </w:divBdr>
        </w:div>
        <w:div w:id="1598978673">
          <w:marLeft w:val="0"/>
          <w:marRight w:val="0"/>
          <w:marTop w:val="0"/>
          <w:marBottom w:val="0"/>
          <w:divBdr>
            <w:top w:val="none" w:sz="0" w:space="0" w:color="auto"/>
            <w:left w:val="none" w:sz="0" w:space="0" w:color="auto"/>
            <w:bottom w:val="none" w:sz="0" w:space="0" w:color="auto"/>
            <w:right w:val="none" w:sz="0" w:space="0" w:color="auto"/>
          </w:divBdr>
        </w:div>
        <w:div w:id="1777019613">
          <w:marLeft w:val="0"/>
          <w:marRight w:val="0"/>
          <w:marTop w:val="0"/>
          <w:marBottom w:val="0"/>
          <w:divBdr>
            <w:top w:val="none" w:sz="0" w:space="0" w:color="auto"/>
            <w:left w:val="none" w:sz="0" w:space="0" w:color="auto"/>
            <w:bottom w:val="none" w:sz="0" w:space="0" w:color="auto"/>
            <w:right w:val="none" w:sz="0" w:space="0" w:color="auto"/>
          </w:divBdr>
        </w:div>
        <w:div w:id="1878273628">
          <w:marLeft w:val="0"/>
          <w:marRight w:val="0"/>
          <w:marTop w:val="0"/>
          <w:marBottom w:val="0"/>
          <w:divBdr>
            <w:top w:val="none" w:sz="0" w:space="0" w:color="auto"/>
            <w:left w:val="none" w:sz="0" w:space="0" w:color="auto"/>
            <w:bottom w:val="none" w:sz="0" w:space="0" w:color="auto"/>
            <w:right w:val="none" w:sz="0" w:space="0" w:color="auto"/>
          </w:divBdr>
        </w:div>
        <w:div w:id="53897688">
          <w:marLeft w:val="0"/>
          <w:marRight w:val="0"/>
          <w:marTop w:val="0"/>
          <w:marBottom w:val="0"/>
          <w:divBdr>
            <w:top w:val="none" w:sz="0" w:space="0" w:color="auto"/>
            <w:left w:val="none" w:sz="0" w:space="0" w:color="auto"/>
            <w:bottom w:val="none" w:sz="0" w:space="0" w:color="auto"/>
            <w:right w:val="none" w:sz="0" w:space="0" w:color="auto"/>
          </w:divBdr>
        </w:div>
      </w:divsChild>
    </w:div>
    <w:div w:id="1057777070">
      <w:bodyDiv w:val="1"/>
      <w:marLeft w:val="0"/>
      <w:marRight w:val="0"/>
      <w:marTop w:val="0"/>
      <w:marBottom w:val="0"/>
      <w:divBdr>
        <w:top w:val="none" w:sz="0" w:space="0" w:color="auto"/>
        <w:left w:val="none" w:sz="0" w:space="0" w:color="auto"/>
        <w:bottom w:val="none" w:sz="0" w:space="0" w:color="auto"/>
        <w:right w:val="none" w:sz="0" w:space="0" w:color="auto"/>
      </w:divBdr>
    </w:div>
    <w:div w:id="1509758386">
      <w:bodyDiv w:val="1"/>
      <w:marLeft w:val="0"/>
      <w:marRight w:val="0"/>
      <w:marTop w:val="0"/>
      <w:marBottom w:val="0"/>
      <w:divBdr>
        <w:top w:val="none" w:sz="0" w:space="0" w:color="auto"/>
        <w:left w:val="none" w:sz="0" w:space="0" w:color="auto"/>
        <w:bottom w:val="none" w:sz="0" w:space="0" w:color="auto"/>
        <w:right w:val="none" w:sz="0" w:space="0" w:color="auto"/>
      </w:divBdr>
    </w:div>
    <w:div w:id="1638752925">
      <w:bodyDiv w:val="1"/>
      <w:marLeft w:val="0"/>
      <w:marRight w:val="0"/>
      <w:marTop w:val="0"/>
      <w:marBottom w:val="0"/>
      <w:divBdr>
        <w:top w:val="none" w:sz="0" w:space="0" w:color="auto"/>
        <w:left w:val="none" w:sz="0" w:space="0" w:color="auto"/>
        <w:bottom w:val="none" w:sz="0" w:space="0" w:color="auto"/>
        <w:right w:val="none" w:sz="0" w:space="0" w:color="auto"/>
      </w:divBdr>
      <w:divsChild>
        <w:div w:id="1288193749">
          <w:marLeft w:val="0"/>
          <w:marRight w:val="0"/>
          <w:marTop w:val="0"/>
          <w:marBottom w:val="0"/>
          <w:divBdr>
            <w:top w:val="none" w:sz="0" w:space="0" w:color="auto"/>
            <w:left w:val="none" w:sz="0" w:space="0" w:color="auto"/>
            <w:bottom w:val="none" w:sz="0" w:space="0" w:color="auto"/>
            <w:right w:val="none" w:sz="0" w:space="0" w:color="auto"/>
          </w:divBdr>
          <w:divsChild>
            <w:div w:id="1605960536">
              <w:marLeft w:val="0"/>
              <w:marRight w:val="0"/>
              <w:marTop w:val="0"/>
              <w:marBottom w:val="0"/>
              <w:divBdr>
                <w:top w:val="none" w:sz="0" w:space="0" w:color="auto"/>
                <w:left w:val="none" w:sz="0" w:space="0" w:color="auto"/>
                <w:bottom w:val="none" w:sz="0" w:space="0" w:color="auto"/>
                <w:right w:val="none" w:sz="0" w:space="0" w:color="auto"/>
              </w:divBdr>
            </w:div>
            <w:div w:id="1312363898">
              <w:marLeft w:val="0"/>
              <w:marRight w:val="0"/>
              <w:marTop w:val="0"/>
              <w:marBottom w:val="0"/>
              <w:divBdr>
                <w:top w:val="none" w:sz="0" w:space="0" w:color="auto"/>
                <w:left w:val="none" w:sz="0" w:space="0" w:color="auto"/>
                <w:bottom w:val="none" w:sz="0" w:space="0" w:color="auto"/>
                <w:right w:val="none" w:sz="0" w:space="0" w:color="auto"/>
              </w:divBdr>
            </w:div>
            <w:div w:id="1689871616">
              <w:marLeft w:val="0"/>
              <w:marRight w:val="0"/>
              <w:marTop w:val="0"/>
              <w:marBottom w:val="0"/>
              <w:divBdr>
                <w:top w:val="none" w:sz="0" w:space="0" w:color="auto"/>
                <w:left w:val="none" w:sz="0" w:space="0" w:color="auto"/>
                <w:bottom w:val="none" w:sz="0" w:space="0" w:color="auto"/>
                <w:right w:val="none" w:sz="0" w:space="0" w:color="auto"/>
              </w:divBdr>
            </w:div>
          </w:divsChild>
        </w:div>
        <w:div w:id="1751463463">
          <w:marLeft w:val="0"/>
          <w:marRight w:val="0"/>
          <w:marTop w:val="0"/>
          <w:marBottom w:val="0"/>
          <w:divBdr>
            <w:top w:val="none" w:sz="0" w:space="0" w:color="auto"/>
            <w:left w:val="none" w:sz="0" w:space="0" w:color="auto"/>
            <w:bottom w:val="none" w:sz="0" w:space="0" w:color="auto"/>
            <w:right w:val="none" w:sz="0" w:space="0" w:color="auto"/>
          </w:divBdr>
        </w:div>
        <w:div w:id="193271335">
          <w:marLeft w:val="0"/>
          <w:marRight w:val="0"/>
          <w:marTop w:val="0"/>
          <w:marBottom w:val="0"/>
          <w:divBdr>
            <w:top w:val="none" w:sz="0" w:space="0" w:color="auto"/>
            <w:left w:val="none" w:sz="0" w:space="0" w:color="auto"/>
            <w:bottom w:val="none" w:sz="0" w:space="0" w:color="auto"/>
            <w:right w:val="none" w:sz="0" w:space="0" w:color="auto"/>
          </w:divBdr>
        </w:div>
      </w:divsChild>
    </w:div>
    <w:div w:id="2055499488">
      <w:bodyDiv w:val="1"/>
      <w:marLeft w:val="0"/>
      <w:marRight w:val="0"/>
      <w:marTop w:val="0"/>
      <w:marBottom w:val="0"/>
      <w:divBdr>
        <w:top w:val="none" w:sz="0" w:space="0" w:color="auto"/>
        <w:left w:val="none" w:sz="0" w:space="0" w:color="auto"/>
        <w:bottom w:val="none" w:sz="0" w:space="0" w:color="auto"/>
        <w:right w:val="none" w:sz="0" w:space="0" w:color="auto"/>
      </w:divBdr>
      <w:divsChild>
        <w:div w:id="2005931494">
          <w:marLeft w:val="0"/>
          <w:marRight w:val="0"/>
          <w:marTop w:val="0"/>
          <w:marBottom w:val="0"/>
          <w:divBdr>
            <w:top w:val="none" w:sz="0" w:space="0" w:color="auto"/>
            <w:left w:val="none" w:sz="0" w:space="0" w:color="auto"/>
            <w:bottom w:val="none" w:sz="0" w:space="0" w:color="auto"/>
            <w:right w:val="none" w:sz="0" w:space="0" w:color="auto"/>
          </w:divBdr>
        </w:div>
        <w:div w:id="653605749">
          <w:marLeft w:val="0"/>
          <w:marRight w:val="0"/>
          <w:marTop w:val="0"/>
          <w:marBottom w:val="0"/>
          <w:divBdr>
            <w:top w:val="none" w:sz="0" w:space="0" w:color="auto"/>
            <w:left w:val="none" w:sz="0" w:space="0" w:color="auto"/>
            <w:bottom w:val="none" w:sz="0" w:space="0" w:color="auto"/>
            <w:right w:val="none" w:sz="0" w:space="0" w:color="auto"/>
          </w:divBdr>
        </w:div>
        <w:div w:id="570507086">
          <w:marLeft w:val="0"/>
          <w:marRight w:val="0"/>
          <w:marTop w:val="0"/>
          <w:marBottom w:val="0"/>
          <w:divBdr>
            <w:top w:val="none" w:sz="0" w:space="0" w:color="auto"/>
            <w:left w:val="none" w:sz="0" w:space="0" w:color="auto"/>
            <w:bottom w:val="none" w:sz="0" w:space="0" w:color="auto"/>
            <w:right w:val="none" w:sz="0" w:space="0" w:color="auto"/>
          </w:divBdr>
        </w:div>
        <w:div w:id="576591872">
          <w:marLeft w:val="0"/>
          <w:marRight w:val="0"/>
          <w:marTop w:val="0"/>
          <w:marBottom w:val="0"/>
          <w:divBdr>
            <w:top w:val="none" w:sz="0" w:space="0" w:color="auto"/>
            <w:left w:val="none" w:sz="0" w:space="0" w:color="auto"/>
            <w:bottom w:val="none" w:sz="0" w:space="0" w:color="auto"/>
            <w:right w:val="none" w:sz="0" w:space="0" w:color="auto"/>
          </w:divBdr>
        </w:div>
        <w:div w:id="1183864187">
          <w:marLeft w:val="0"/>
          <w:marRight w:val="0"/>
          <w:marTop w:val="0"/>
          <w:marBottom w:val="0"/>
          <w:divBdr>
            <w:top w:val="none" w:sz="0" w:space="0" w:color="auto"/>
            <w:left w:val="none" w:sz="0" w:space="0" w:color="auto"/>
            <w:bottom w:val="none" w:sz="0" w:space="0" w:color="auto"/>
            <w:right w:val="none" w:sz="0" w:space="0" w:color="auto"/>
          </w:divBdr>
        </w:div>
        <w:div w:id="26218175">
          <w:marLeft w:val="0"/>
          <w:marRight w:val="0"/>
          <w:marTop w:val="0"/>
          <w:marBottom w:val="0"/>
          <w:divBdr>
            <w:top w:val="none" w:sz="0" w:space="0" w:color="auto"/>
            <w:left w:val="none" w:sz="0" w:space="0" w:color="auto"/>
            <w:bottom w:val="none" w:sz="0" w:space="0" w:color="auto"/>
            <w:right w:val="none" w:sz="0" w:space="0" w:color="auto"/>
          </w:divBdr>
        </w:div>
        <w:div w:id="1374580348">
          <w:marLeft w:val="0"/>
          <w:marRight w:val="0"/>
          <w:marTop w:val="0"/>
          <w:marBottom w:val="0"/>
          <w:divBdr>
            <w:top w:val="none" w:sz="0" w:space="0" w:color="auto"/>
            <w:left w:val="none" w:sz="0" w:space="0" w:color="auto"/>
            <w:bottom w:val="none" w:sz="0" w:space="0" w:color="auto"/>
            <w:right w:val="none" w:sz="0" w:space="0" w:color="auto"/>
          </w:divBdr>
        </w:div>
        <w:div w:id="1044139804">
          <w:marLeft w:val="0"/>
          <w:marRight w:val="0"/>
          <w:marTop w:val="0"/>
          <w:marBottom w:val="0"/>
          <w:divBdr>
            <w:top w:val="none" w:sz="0" w:space="0" w:color="auto"/>
            <w:left w:val="none" w:sz="0" w:space="0" w:color="auto"/>
            <w:bottom w:val="none" w:sz="0" w:space="0" w:color="auto"/>
            <w:right w:val="none" w:sz="0" w:space="0" w:color="auto"/>
          </w:divBdr>
        </w:div>
        <w:div w:id="2081324695">
          <w:marLeft w:val="0"/>
          <w:marRight w:val="0"/>
          <w:marTop w:val="0"/>
          <w:marBottom w:val="0"/>
          <w:divBdr>
            <w:top w:val="none" w:sz="0" w:space="0" w:color="auto"/>
            <w:left w:val="none" w:sz="0" w:space="0" w:color="auto"/>
            <w:bottom w:val="none" w:sz="0" w:space="0" w:color="auto"/>
            <w:right w:val="none" w:sz="0" w:space="0" w:color="auto"/>
          </w:divBdr>
        </w:div>
        <w:div w:id="395591093">
          <w:marLeft w:val="0"/>
          <w:marRight w:val="0"/>
          <w:marTop w:val="0"/>
          <w:marBottom w:val="0"/>
          <w:divBdr>
            <w:top w:val="none" w:sz="0" w:space="0" w:color="auto"/>
            <w:left w:val="none" w:sz="0" w:space="0" w:color="auto"/>
            <w:bottom w:val="none" w:sz="0" w:space="0" w:color="auto"/>
            <w:right w:val="none" w:sz="0" w:space="0" w:color="auto"/>
          </w:divBdr>
        </w:div>
        <w:div w:id="1916548442">
          <w:marLeft w:val="0"/>
          <w:marRight w:val="0"/>
          <w:marTop w:val="0"/>
          <w:marBottom w:val="0"/>
          <w:divBdr>
            <w:top w:val="none" w:sz="0" w:space="0" w:color="auto"/>
            <w:left w:val="none" w:sz="0" w:space="0" w:color="auto"/>
            <w:bottom w:val="none" w:sz="0" w:space="0" w:color="auto"/>
            <w:right w:val="none" w:sz="0" w:space="0" w:color="auto"/>
          </w:divBdr>
        </w:div>
        <w:div w:id="1739134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71C6E-D947-41C3-BE27-711FF6C2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NPlus Computer</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DNTN 49</dc:creator>
  <cp:lastModifiedBy>Tai Phan Minh</cp:lastModifiedBy>
  <cp:revision>137</cp:revision>
  <cp:lastPrinted>2010-11-25T07:02:00Z</cp:lastPrinted>
  <dcterms:created xsi:type="dcterms:W3CDTF">2016-10-04T03:09:00Z</dcterms:created>
  <dcterms:modified xsi:type="dcterms:W3CDTF">2017-05-07T09:51:00Z</dcterms:modified>
</cp:coreProperties>
</file>