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44d41ff288de8e98495f6ea38829f7cc15b393"/>
    <w:p>
      <w:pPr>
        <w:pStyle w:val="Heading1"/>
      </w:pPr>
      <w:r>
        <w:t xml:space="preserve">Schedule P/C Batch Scoring — Cost &amp; Time Estimate</w:t>
      </w:r>
    </w:p>
    <w:p>
      <w:pPr>
        <w:pStyle w:val="FirstParagraph"/>
      </w:pPr>
      <w:r>
        <w:rPr>
          <w:i/>
          <w:iCs/>
        </w:rPr>
        <w:t xml:space="preserve">Generated 2026-08-13 from live Serilog output (</w:t>
      </w:r>
      <w:r>
        <w:rPr>
          <w:rStyle w:val="VerbatimChar"/>
          <w:i/>
          <w:iCs/>
        </w:rPr>
        <w:t xml:space="preserve">schedulepcmcp-20260813.log</w:t>
      </w:r>
      <w:r>
        <w:rPr>
          <w:i/>
          <w:iCs/>
        </w:rPr>
        <w:t xml:space="preserve">), Azure OpenAI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gpt-5.1</w:t>
      </w:r>
      <w:r>
        <w:rPr>
          <w:i/>
          <w:iCs/>
        </w:rPr>
        <w:t xml:space="preserve"> </w:t>
      </w:r>
      <w:r>
        <w:rPr>
          <w:i/>
          <w:iCs/>
        </w:rPr>
        <w:t xml:space="preserve">deployment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https://devops-cicd.openai.azure.us/</w:t>
      </w:r>
      <w:r>
        <w:rPr>
          <w:i/>
          <w:iCs/>
        </w:rPr>
        <w:t xml:space="preserve">.</w:t>
      </w:r>
    </w:p>
    <w:bookmarkStart w:id="9" w:name="sample-runs-observed"/>
    <w:p>
      <w:pPr>
        <w:pStyle w:val="Heading2"/>
      </w:pPr>
      <w:r>
        <w:t xml:space="preserve">Sample runs observed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PDs scored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Total cost</w:t>
            </w:r>
          </w:p>
        </w:tc>
        <w:tc>
          <w:tcPr/>
          <w:p>
            <w:pPr>
              <w:pStyle w:val="Compact"/>
            </w:pPr>
            <w:r>
              <w:t xml:space="preserve">Avg cost/PD</w:t>
            </w:r>
          </w:p>
        </w:tc>
        <w:tc>
          <w:tcPr/>
          <w:p>
            <w:pPr>
              <w:pStyle w:val="Compact"/>
            </w:pPr>
            <w:r>
              <w:t xml:space="preserve">Total time</w:t>
            </w:r>
          </w:p>
        </w:tc>
        <w:tc>
          <w:tcPr/>
          <w:p>
            <w:pPr>
              <w:pStyle w:val="Compact"/>
            </w:pPr>
            <w:r>
              <w:t xml:space="preserve">Avg time/PD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00855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$0.1611</w:t>
            </w:r>
          </w:p>
        </w:tc>
        <w:tc>
          <w:tcPr/>
          <w:p>
            <w:pPr>
              <w:pStyle w:val="Compact"/>
            </w:pPr>
            <w:r>
              <w:t xml:space="preserve">$0.0124</w:t>
            </w:r>
          </w:p>
        </w:tc>
        <w:tc>
          <w:tcPr/>
          <w:p>
            <w:pPr>
              <w:pStyle w:val="Compact"/>
            </w:pPr>
            <w:r>
              <w:t xml:space="preserve">129.5 s</w:t>
            </w:r>
          </w:p>
        </w:tc>
        <w:tc>
          <w:tcPr/>
          <w:p>
            <w:pPr>
              <w:pStyle w:val="Compact"/>
            </w:pPr>
            <w:r>
              <w:t xml:space="preserve">9.96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01301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$0.8583</w:t>
            </w:r>
          </w:p>
        </w:tc>
        <w:tc>
          <w:tcPr/>
          <w:p>
            <w:pPr>
              <w:pStyle w:val="Compact"/>
            </w:pPr>
            <w:r>
              <w:t xml:space="preserve">$0.0143</w:t>
            </w:r>
          </w:p>
        </w:tc>
        <w:tc>
          <w:tcPr/>
          <w:p>
            <w:pPr>
              <w:pStyle w:val="Compact"/>
            </w:pPr>
            <w:r>
              <w:t xml:space="preserve">749.8 s</w:t>
            </w:r>
          </w:p>
        </w:tc>
        <w:tc>
          <w:tcPr/>
          <w:p>
            <w:pPr>
              <w:pStyle w:val="Compact"/>
            </w:pPr>
            <w:r>
              <w:t xml:space="preserve">12.50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$1.0194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879.3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12.05 s</w:t>
            </w:r>
          </w:p>
        </w:tc>
      </w:tr>
    </w:tbl>
    <w:p>
      <w:pPr>
        <w:pStyle w:val="BodyText"/>
      </w:pPr>
      <w:r>
        <w:t xml:space="preserve">Per-PD cost across both runs ranged from $0.0062 (E09764, smallest prompt) to $0.0253 (S19681, largest prompt: 5,488 prompt + 1,848 completion tokens).</w:t>
      </w:r>
    </w:p>
    <w:bookmarkEnd w:id="9"/>
    <w:bookmarkStart w:id="11" w:name="X4698fecbf3772af70f52b72ca22595ecf59b03d"/>
    <w:p>
      <w:pPr>
        <w:pStyle w:val="Heading2"/>
      </w:pPr>
      <w:r>
        <w:t xml:space="preserve">Extrapolation to full table (14,120 evaluation results)</w:t>
      </w:r>
    </w:p>
    <w:p>
      <w:pPr>
        <w:pStyle w:val="FirstParagraph"/>
      </w:pPr>
      <w:r>
        <w:t xml:space="preserve">Using the combined 73-PD sample average as the estimate basis: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Per PD</w:t>
            </w:r>
          </w:p>
        </w:tc>
        <w:tc>
          <w:tcPr/>
          <w:p>
            <w:pPr>
              <w:pStyle w:val="Compact"/>
            </w:pPr>
            <w:r>
              <w:t xml:space="preserve">× 14,120 PDs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$0.0140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(sequential, single-threaded)</w:t>
            </w:r>
          </w:p>
        </w:tc>
        <w:tc>
          <w:tcPr/>
          <w:p>
            <w:pPr>
              <w:pStyle w:val="Compact"/>
            </w:pPr>
            <w:r>
              <w:t xml:space="preserve">12.05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170,146 s ≈ 47.3 hours (~2.0 days)</w:t>
            </w:r>
          </w:p>
        </w:tc>
      </w:tr>
    </w:tbl>
    <w:bookmarkStart w:id="10" w:name="sensitivity-range"/>
    <w:p>
      <w:pPr>
        <w:pStyle w:val="Heading3"/>
      </w:pPr>
      <w:r>
        <w:t xml:space="preserve">Sensitivity range</w:t>
      </w:r>
    </w:p>
    <w:p>
      <w:pPr>
        <w:pStyle w:val="FirstParagraph"/>
      </w:pPr>
      <w:r>
        <w:t xml:space="preserve">Using the lower/higher of the two individual run averages instead of the blended average: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Cost/PD</w:t>
            </w:r>
          </w:p>
        </w:tc>
        <w:tc>
          <w:tcPr/>
          <w:p>
            <w:pPr>
              <w:pStyle w:val="Compact"/>
            </w:pPr>
            <w:r>
              <w:t xml:space="preserve">Est. total cost (14,120)</w:t>
            </w:r>
          </w:p>
        </w:tc>
        <w:tc>
          <w:tcPr/>
          <w:p>
            <w:pPr>
              <w:pStyle w:val="Compact"/>
            </w:pPr>
            <w:r>
              <w:t xml:space="preserve">Time/PD</w:t>
            </w:r>
          </w:p>
        </w:tc>
        <w:tc>
          <w:tcPr/>
          <w:p>
            <w:pPr>
              <w:pStyle w:val="Compact"/>
            </w:pPr>
            <w:r>
              <w:t xml:space="preserve">Est. total time (14,120)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1 (00855, low end)</w:t>
            </w:r>
          </w:p>
        </w:tc>
        <w:tc>
          <w:tcPr/>
          <w:p>
            <w:pPr>
              <w:pStyle w:val="Compact"/>
            </w:pPr>
            <w:r>
              <w:t xml:space="preserve">$0.0124</w:t>
            </w:r>
          </w:p>
        </w:tc>
        <w:tc>
          <w:tcPr/>
          <w:p>
            <w:pPr>
              <w:pStyle w:val="Compact"/>
            </w:pPr>
            <w:r>
              <w:t xml:space="preserve">~$175</w:t>
            </w:r>
          </w:p>
        </w:tc>
        <w:tc>
          <w:tcPr/>
          <w:p>
            <w:pPr>
              <w:pStyle w:val="Compact"/>
            </w:pPr>
            <w:r>
              <w:t xml:space="preserve">9.96 s</w:t>
            </w:r>
          </w:p>
        </w:tc>
        <w:tc>
          <w:tcPr/>
          <w:p>
            <w:pPr>
              <w:pStyle w:val="Compact"/>
            </w:pPr>
            <w:r>
              <w:t xml:space="preserve">~39.1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2 (01301, larger sample)</w:t>
            </w:r>
          </w:p>
        </w:tc>
        <w:tc>
          <w:tcPr/>
          <w:p>
            <w:pPr>
              <w:pStyle w:val="Compact"/>
            </w:pPr>
            <w:r>
              <w:t xml:space="preserve">$0.0143</w:t>
            </w:r>
          </w:p>
        </w:tc>
        <w:tc>
          <w:tcPr/>
          <w:p>
            <w:pPr>
              <w:pStyle w:val="Compact"/>
            </w:pPr>
            <w:r>
              <w:t xml:space="preserve">~$202</w:t>
            </w:r>
          </w:p>
        </w:tc>
        <w:tc>
          <w:tcPr/>
          <w:p>
            <w:pPr>
              <w:pStyle w:val="Compact"/>
            </w:pPr>
            <w:r>
              <w:t xml:space="preserve">12.50 s</w:t>
            </w:r>
          </w:p>
        </w:tc>
        <w:tc>
          <w:tcPr/>
          <w:p>
            <w:pPr>
              <w:pStyle w:val="Compact"/>
            </w:pPr>
            <w:r>
              <w:t xml:space="preserve">~49.0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Blended (recommended)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~47.3 hrs</w:t>
            </w:r>
          </w:p>
        </w:tc>
      </w:tr>
    </w:tbl>
    <w:bookmarkEnd w:id="10"/>
    <w:bookmarkEnd w:id="11"/>
    <w:bookmarkStart w:id="12" w:name="caveats"/>
    <w:p>
      <w:pPr>
        <w:pStyle w:val="Heading2"/>
      </w:pPr>
      <w:r>
        <w:t xml:space="preserve">Caveats</w:t>
      </w:r>
    </w:p>
    <w:p>
      <w:pPr>
        <w:pStyle w:val="Compact"/>
        <w:numPr>
          <w:ilvl w:val="0"/>
          <w:numId w:val="1001"/>
        </w:numPr>
      </w:pPr>
      <w:r>
        <w:t xml:space="preserve">Sample size is 73 of 14,120 PDs (~0.5%). Cost varies meaningfully by position complexity/description length (observed per-PD cost spans ~4x), so the estimate carries real variance.</w:t>
      </w:r>
    </w:p>
    <w:p>
      <w:pPr>
        <w:pStyle w:val="Compact"/>
        <w:numPr>
          <w:ilvl w:val="0"/>
          <w:numId w:val="1001"/>
        </w:numPr>
      </w:pPr>
      <w:r>
        <w:t xml:space="preserve">This assumes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14,120 rows still need scoring. In practice many rows in that table are likely already scored from prior runs, so the actual remaining cost/time to fully process the backlog is probably lower.</w:t>
      </w:r>
    </w:p>
    <w:p>
      <w:pPr>
        <w:pStyle w:val="Compact"/>
        <w:numPr>
          <w:ilvl w:val="0"/>
          <w:numId w:val="1001"/>
        </w:numPr>
      </w:pPr>
      <w:r>
        <w:t xml:space="preserve">Time estimate assumes strictly sequential single-series processing as observed in these runs; no parallelism was used.</w:t>
      </w:r>
    </w:p>
    <w:p>
      <w:pPr>
        <w:pStyle w:val="Compact"/>
        <w:numPr>
          <w:ilvl w:val="0"/>
          <w:numId w:val="1001"/>
        </w:numPr>
      </w:pPr>
      <w:r>
        <w:t xml:space="preserve">Azure OpenAI pricing/token rates are assumed constant at current</w:t>
      </w:r>
      <w:r>
        <w:t xml:space="preserve"> </w:t>
      </w:r>
      <w:r>
        <w:rPr>
          <w:rStyle w:val="VerbatimChar"/>
        </w:rPr>
        <w:t xml:space="preserve">gpt-5.1</w:t>
      </w:r>
      <w:r>
        <w:t xml:space="preserve"> </w:t>
      </w:r>
      <w:r>
        <w:t xml:space="preserve">deployment rates; any pricing change would shift the estimate proportionally.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2026-08-13T14:42:58Z</dcterms:created>
  <dcterms:modified xsi:type="dcterms:W3CDTF">2026-08-13T14:42:58Z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