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a08a5191064776464d33e614a318e3e98ef473"/>
    <w:p>
      <w:pPr>
        <w:pStyle w:val="Heading1"/>
      </w:pPr>
      <w:r>
        <w:t xml:space="preserve">Schedule P/C Rating Scale and AI Score Color Coding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HR evaluators reviewing generated Word evaluation documents and Excel trackers.</w:t>
      </w:r>
      <w:r>
        <w:t xml:space="preserve"> </w:t>
      </w:r>
      <w:r>
        <w:rPr>
          <w:b/>
          <w:bCs/>
        </w:rPr>
        <w:t xml:space="preserve">Source of truth:</w:t>
      </w:r>
      <w:r>
        <w:t xml:space="preserve"> </w:t>
      </w:r>
      <w:r>
        <w:rPr>
          <w:rStyle w:val="VerbatimChar"/>
        </w:rPr>
        <w:t xml:space="preserve">src/PositionAnalysis.Mcp/Application/Services/ScoringOrchestrator.cs</w:t>
      </w:r>
    </w:p>
    <w:p>
      <w:pPr>
        <w:pStyle w:val="BodyText"/>
      </w:pPr>
      <w:r>
        <w:t xml:space="preserve">This document explains what the</w:t>
      </w:r>
      <w:r>
        <w:t xml:space="preserve"> </w:t>
      </w:r>
      <w:r>
        <w:rPr>
          <w:b/>
          <w:bCs/>
        </w:rPr>
        <w:t xml:space="preserve">HIGH / MEDIUM / LOW rating</w:t>
      </w:r>
      <w:r>
        <w:t xml:space="preserve">, the</w:t>
      </w:r>
      <w:r>
        <w:t xml:space="preserve"> </w:t>
      </w:r>
      <w:r>
        <w:rPr>
          <w:b/>
          <w:bCs/>
        </w:rPr>
        <w:t xml:space="preserve">AI Score</w:t>
      </w:r>
      <w:r>
        <w:t xml:space="preserve">, and the</w:t>
      </w:r>
      <w:r>
        <w:t xml:space="preserve"> </w:t>
      </w:r>
      <w:r>
        <w:rPr>
          <w:b/>
          <w:bCs/>
        </w:rPr>
        <w:t xml:space="preserve">colors</w:t>
      </w:r>
      <w:r>
        <w:t xml:space="preserve"> </w:t>
      </w:r>
      <w:r>
        <w:t xml:space="preserve">on your evaluation documents mean, and how they relate to each other.</w:t>
      </w:r>
    </w:p>
    <w:p>
      <w:r>
        <w:pict>
          <v:rect style="width:0;height:1.5pt" o:hralign="center" o:hrstd="t" o:hr="t"/>
        </w:pict>
      </w:r>
    </w:p>
    <w:bookmarkStart w:id="9" w:name="the-rating-high-medium-low"/>
    <w:p>
      <w:pPr>
        <w:pStyle w:val="Heading2"/>
      </w:pPr>
      <w:r>
        <w:t xml:space="preserve">1. The Rating (HIGH / MEDIUM / LOW)</w:t>
      </w:r>
    </w:p>
    <w:p>
      <w:pPr>
        <w:pStyle w:val="FirstParagraph"/>
      </w:pPr>
      <w:r>
        <w:t xml:space="preserve">The rating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something the AI freely decides. It is calculated directly in code from the number of the four Schedule P/C criteria the AI found to be triggered for a position:</w:t>
      </w:r>
    </w:p>
    <w:p>
      <w:pPr>
        <w:pStyle w:val="Compact"/>
        <w:numPr>
          <w:ilvl w:val="0"/>
          <w:numId w:val="1001"/>
        </w:numPr>
      </w:pPr>
      <w:r>
        <w:t xml:space="preserve">Policy-Determining</w:t>
      </w:r>
    </w:p>
    <w:p>
      <w:pPr>
        <w:pStyle w:val="Compact"/>
        <w:numPr>
          <w:ilvl w:val="0"/>
          <w:numId w:val="1001"/>
        </w:numPr>
      </w:pPr>
      <w:r>
        <w:t xml:space="preserve">Policy-Making</w:t>
      </w:r>
    </w:p>
    <w:p>
      <w:pPr>
        <w:pStyle w:val="Compact"/>
        <w:numPr>
          <w:ilvl w:val="0"/>
          <w:numId w:val="1001"/>
        </w:numPr>
      </w:pPr>
      <w:r>
        <w:t xml:space="preserve">Policy-Advocating</w:t>
      </w:r>
    </w:p>
    <w:p>
      <w:pPr>
        <w:pStyle w:val="Compact"/>
        <w:numPr>
          <w:ilvl w:val="0"/>
          <w:numId w:val="1001"/>
        </w:numPr>
      </w:pPr>
      <w:r>
        <w:t xml:space="preserve">Confidential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 triggered (out of 4)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or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or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t xml:space="preserve">Because the rating is a direct, deterministic function of the criteria-met count,</w:t>
      </w:r>
      <w:r>
        <w:t xml:space="preserve"> </w:t>
      </w:r>
      <w:r>
        <w:rPr>
          <w:b/>
          <w:bCs/>
        </w:rPr>
        <w:t xml:space="preserve">the rating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“X of 4 criteria met”</w:t>
      </w:r>
      <w:r>
        <w:rPr>
          <w:b/>
          <w:bCs/>
        </w:rPr>
        <w:t xml:space="preserve"> </w:t>
      </w:r>
      <w:r>
        <w:rPr>
          <w:b/>
          <w:bCs/>
        </w:rPr>
        <w:t xml:space="preserve">label will always agree</w:t>
      </w:r>
      <w:r>
        <w:t xml:space="preserve"> </w:t>
      </w:r>
      <w:r>
        <w:t xml:space="preserve">— you will never see, for example,</w:t>
      </w:r>
      <w:r>
        <w:t xml:space="preserve"> </w:t>
      </w:r>
      <w:r>
        <w:t xml:space="preserve">“HIGH – 1 of 4 criteria met”</w:t>
      </w:r>
      <w:r>
        <w:t xml:space="preserve"> </w:t>
      </w:r>
      <w:r>
        <w:t xml:space="preserve">or</w:t>
      </w:r>
      <w:r>
        <w:t xml:space="preserve"> </w:t>
      </w:r>
      <w:r>
        <w:t xml:space="preserve">“MEDIUM – 0 of 4 criteria met.”</w:t>
      </w:r>
    </w:p>
    <w:p>
      <w:r>
        <w:pict>
          <v:rect style="width:0;height:1.5pt" o:hralign="center" o:hrstd="t" o:hr="t"/>
        </w:pict>
      </w:r>
    </w:p>
    <w:bookmarkEnd w:id="9"/>
    <w:bookmarkStart w:id="10" w:name="the-ai-score-0100"/>
    <w:p>
      <w:pPr>
        <w:pStyle w:val="Heading2"/>
      </w:pPr>
      <w:r>
        <w:t xml:space="preserve">2. The AI Score (0–100)</w:t>
      </w:r>
    </w:p>
    <w:p>
      <w:pPr>
        <w:pStyle w:val="FirstParagraph"/>
      </w:pPr>
      <w:r>
        <w:t xml:space="preserve">Separate from the rating, the AI also returns a numeric</w:t>
      </w:r>
      <w:r>
        <w:t xml:space="preserve"> </w:t>
      </w:r>
      <w:r>
        <w:rPr>
          <w:b/>
          <w:bCs/>
        </w:rPr>
        <w:t xml:space="preserve">confidence score from 0 to 100</w:t>
      </w:r>
      <w:r>
        <w:t xml:space="preserve"> </w:t>
      </w:r>
      <w:r>
        <w:t xml:space="preserve">for each position, shown as</w:t>
      </w:r>
      <w:r>
        <w:t xml:space="preserve"> </w:t>
      </w:r>
      <w:r>
        <w:rPr>
          <w:rStyle w:val="VerbatimChar"/>
        </w:rPr>
        <w:t xml:space="preserve">AI Score: NN/100</w:t>
      </w:r>
      <w:r>
        <w:t xml:space="preserve"> </w:t>
      </w:r>
      <w:r>
        <w:t xml:space="preserve">next to the rating.</w:t>
      </w:r>
    </w:p>
    <w:p>
      <w:pPr>
        <w:pStyle w:val="BodyText"/>
      </w:pPr>
      <w:r>
        <w:rPr>
          <w:b/>
          <w:bCs/>
        </w:rPr>
        <w:t xml:space="preserve">What the AI Score means:</w:t>
      </w:r>
      <w:r>
        <w:t xml:space="preserve"> </w:t>
      </w:r>
      <w:r>
        <w:t xml:space="preserve">it is the AI’s own estimate of how strongly the duty text supports its criteria findings — think of it as</w:t>
      </w:r>
      <w:r>
        <w:t xml:space="preserve"> </w:t>
      </w:r>
      <w:r>
        <w:t xml:space="preserve">“how confident/strong is the case,”</w:t>
      </w:r>
      <w:r>
        <w:t xml:space="preserve"> </w:t>
      </w:r>
      <w:r>
        <w:t xml:space="preserve">not</w:t>
      </w:r>
      <w:r>
        <w:t xml:space="preserve"> </w:t>
      </w:r>
      <w:r>
        <w:t xml:space="preserve">“how many criteria were met.”</w:t>
      </w:r>
      <w:r>
        <w:t xml:space="preserve"> </w:t>
      </w:r>
      <w:r>
        <w:t xml:space="preserve">Two positions can have the exact same rating (e.g. both MEDIUM) and criteria-met count, but different AI Scores, because one position’s duty language may be clearer and more direct evidence than the other’s.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AI Score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determine the rating. The rating is fixed by the criteria-met count (see section 1). The AI Score is purely a supplementary signal so an evaluator can tell, at a glance, whether a rating sits at the strong end or the weak end of its bucket — e.g. a MEDIUM at 65/100 is a stronger case than a MEDIUM at 40/100, even though both are labeled MEDIUM.</w:t>
      </w:r>
    </w:p>
    <w:p>
      <w:r>
        <w:pict>
          <v:rect style="width:0;height:1.5pt" o:hralign="center" o:hrstd="t" o:hr="t"/>
        </w:pict>
      </w:r>
    </w:p>
    <w:bookmarkEnd w:id="10"/>
    <w:bookmarkStart w:id="12" w:name="color-coding"/>
    <w:p>
      <w:pPr>
        <w:pStyle w:val="Heading2"/>
      </w:pPr>
      <w:r>
        <w:t xml:space="preserve">3. Color coding</w:t>
      </w:r>
    </w:p>
    <w:p>
      <w:pPr>
        <w:pStyle w:val="FirstParagraph"/>
      </w:pPr>
      <w:r>
        <w:t xml:space="preserve">Colors on both the Word document rating cell and the Excel export are driven by the</w:t>
      </w:r>
      <w:r>
        <w:t xml:space="preserve"> </w:t>
      </w:r>
      <w:r>
        <w:rPr>
          <w:b/>
          <w:bCs/>
        </w:rPr>
        <w:t xml:space="preserve">AI Score</w:t>
      </w:r>
      <w:r>
        <w:t xml:space="preserve">, using a continuous red → yellow → green gradient (not a flat color per rating bucket):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Score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Red (</w:t>
            </w:r>
            <w:r>
              <w:rPr>
                <w:rStyle w:val="VerbatimChar"/>
              </w:rPr>
              <w:t xml:space="preserve">#F8696B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Yellow (</w:t>
            </w:r>
            <w:r>
              <w:rPr>
                <w:rStyle w:val="VerbatimChar"/>
              </w:rPr>
              <w:t xml:space="preserve">#FFEB84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Green (</w:t>
            </w:r>
            <w:r>
              <w:rPr>
                <w:rStyle w:val="VerbatimChar"/>
              </w:rPr>
              <w:t xml:space="preserve">#63BE7B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Scores between these points are blended proportionally. This means:</w:t>
      </w:r>
      <w:r>
        <w:t xml:space="preserve"> </w:t>
      </w:r>
      <w:r>
        <w:t xml:space="preserve">- A score of 82 will render a strong green.</w:t>
      </w:r>
      <w:r>
        <w:t xml:space="preserve"> </w:t>
      </w:r>
      <w:r>
        <w:t xml:space="preserve">- A score of 45 will render an orange/amber shade (between red and yellow).</w:t>
      </w:r>
      <w:r>
        <w:t xml:space="preserve"> </w:t>
      </w:r>
      <w:r>
        <w:t xml:space="preserve">- A score of 10 will render a strong red.</w:t>
      </w:r>
    </w:p>
    <w:p>
      <w:pPr>
        <w:pStyle w:val="BodyText"/>
      </w:pPr>
      <w:r>
        <w:t xml:space="preserve">Because the gradient is continuous, two positions with the</w:t>
      </w:r>
      <w:r>
        <w:t xml:space="preserve"> </w:t>
      </w:r>
      <w:r>
        <w:rPr>
          <w:b/>
          <w:bCs/>
        </w:rPr>
        <w:t xml:space="preserve">same rating</w:t>
      </w:r>
      <w:r>
        <w:t xml:space="preserve"> </w:t>
      </w:r>
      <w:r>
        <w:t xml:space="preserve">(e.g. both HIGH) can still show</w:t>
      </w:r>
      <w:r>
        <w:t xml:space="preserve"> </w:t>
      </w:r>
      <w:r>
        <w:rPr>
          <w:b/>
          <w:bCs/>
        </w:rPr>
        <w:t xml:space="preserve">visibly different shades</w:t>
      </w:r>
      <w:r>
        <w:t xml:space="preserve"> </w:t>
      </w:r>
      <w:r>
        <w:t xml:space="preserve">depending on their AI Score — a HIGH at 95 will look noticeably greener than a HIGH at 78.</w:t>
      </w:r>
    </w:p>
    <w:bookmarkStart w:id="11" w:name="where-youll-see-this"/>
    <w:p>
      <w:pPr>
        <w:pStyle w:val="Heading3"/>
      </w:pPr>
      <w:r>
        <w:t xml:space="preserve">Where you’ll see this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Word document</w:t>
      </w:r>
      <w:r>
        <w:t xml:space="preserve"> </w:t>
      </w:r>
      <w:r>
        <w:t xml:space="preserve">— Section 1</w:t>
      </w:r>
      <w:r>
        <w:t xml:space="preserve"> </w:t>
      </w:r>
      <w:r>
        <w:t xml:space="preserve">“Schedule PC Rating”</w:t>
      </w:r>
      <w:r>
        <w:t xml:space="preserve"> </w:t>
      </w:r>
      <w:r>
        <w:t xml:space="preserve">cell: label reads</w:t>
      </w:r>
      <w:r>
        <w:t xml:space="preserve"> </w:t>
      </w:r>
      <w:r>
        <w:rPr>
          <w:rStyle w:val="VerbatimChar"/>
        </w:rPr>
        <w:t xml:space="preserve">RATING -- N of 4 criteria met (AI Score: NN/100)</w:t>
      </w:r>
      <w:r>
        <w:t xml:space="preserve">, shaded per the AI Score.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export</w:t>
      </w:r>
      <w:r>
        <w:t xml:space="preserve"> </w:t>
      </w:r>
      <w:r>
        <w:t xml:space="preserve">— two separate columns: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Rating</w:t>
      </w:r>
      <w:r>
        <w:t xml:space="preserve"> </w:t>
      </w:r>
      <w:r>
        <w:t xml:space="preserve">— text bucket (HIGH/MEDIUM/LOW).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AI Score</w:t>
      </w:r>
      <w:r>
        <w:t xml:space="preserve"> </w:t>
      </w:r>
      <w:r>
        <w:t xml:space="preserve">— the raw 0–100 number, shaded with the same gradient.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quick-reference-for-evaluators"/>
    <w:p>
      <w:pPr>
        <w:pStyle w:val="Heading2"/>
      </w:pPr>
      <w:r>
        <w:t xml:space="preserve">4. Quick reference for evaluators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(HIGH/MEDIUM/LOW)</w:t>
            </w:r>
          </w:p>
        </w:tc>
        <w:tc>
          <w:tcPr/>
          <w:p>
            <w:pPr>
              <w:pStyle w:val="Compact"/>
            </w:pPr>
            <w:r>
              <w:t xml:space="preserve">How many of the 4 criteria were triggered — the official bucket used for candidacy determination.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 of 4 criteria met”</w:t>
            </w:r>
          </w:p>
        </w:tc>
        <w:tc>
          <w:tcPr/>
          <w:p>
            <w:pPr>
              <w:pStyle w:val="Compact"/>
            </w:pPr>
            <w:r>
              <w:t xml:space="preserve">The exact count driving the rating above; always consistent with the rating.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Score (0–100)</w:t>
            </w:r>
          </w:p>
        </w:tc>
        <w:tc>
          <w:tcPr/>
          <w:p>
            <w:pPr>
              <w:pStyle w:val="Compact"/>
            </w:pPr>
            <w:r>
              <w:t xml:space="preserve">How strong/confident the AI’s evidence was for its findings — a secondary strength indicator, not a criteria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color</w:t>
            </w:r>
          </w:p>
        </w:tc>
        <w:tc>
          <w:tcPr/>
          <w:p>
            <w:pPr>
              <w:pStyle w:val="Compact"/>
            </w:pPr>
            <w:r>
              <w:t xml:space="preserve">A visual proxy for the AI Score (red=weak, yellow=middling, green=strong) — use it to spot the stronger vs. weaker cases within the same rating bucket.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2026-08-13T12:25:57Z</dcterms:created>
  <dcterms:modified xsi:type="dcterms:W3CDTF">2026-08-13T12:25:57Z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