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Times New Roman" w:hAnsi="Times New Roman" w:eastAsia="黑体"/>
          <w:b/>
          <w:color w:val="1F4E79"/>
          <w:sz w:val="52"/>
        </w:rPr>
        <w:t>本科毕业设计（论文）</w:t>
      </w:r>
    </w:p>
    <w:p/>
    <w:p>
      <w:pPr>
        <w:jc w:val="center"/>
      </w:pPr>
      <w:r>
        <w:rPr>
          <w:rFonts w:ascii="Times New Roman" w:hAnsi="Times New Roman" w:eastAsia="黑体"/>
          <w:b/>
          <w:sz w:val="44"/>
        </w:rPr>
        <w:t>基于视触觉融合的低延迟灵巧手控制系统设计与实现</w:t>
      </w:r>
    </w:p>
    <w:p/>
    <w:p/>
    <w:p>
      <w:pPr>
        <w:jc w:val="center"/>
      </w:pPr>
      <w:r>
        <w:rPr>
          <w:rFonts w:ascii="Times New Roman" w:hAnsi="Times New Roman" w:eastAsia="宋体"/>
          <w:b w:val="0"/>
          <w:sz w:val="28"/>
        </w:rPr>
        <w:t>学    院：____________________</w:t>
      </w:r>
    </w:p>
    <w:p>
      <w:pPr>
        <w:jc w:val="center"/>
      </w:pPr>
      <w:r>
        <w:rPr>
          <w:rFonts w:ascii="Times New Roman" w:hAnsi="Times New Roman" w:eastAsia="宋体"/>
          <w:b w:val="0"/>
          <w:sz w:val="28"/>
        </w:rPr>
        <w:t>专    业：____________________</w:t>
      </w:r>
    </w:p>
    <w:p>
      <w:pPr>
        <w:jc w:val="center"/>
      </w:pPr>
      <w:r>
        <w:rPr>
          <w:rFonts w:ascii="Times New Roman" w:hAnsi="Times New Roman" w:eastAsia="宋体"/>
          <w:b w:val="0"/>
          <w:sz w:val="28"/>
        </w:rPr>
        <w:t>学    号：____________________</w:t>
      </w:r>
    </w:p>
    <w:p>
      <w:pPr>
        <w:jc w:val="center"/>
      </w:pPr>
      <w:r>
        <w:rPr>
          <w:rFonts w:ascii="Times New Roman" w:hAnsi="Times New Roman" w:eastAsia="宋体"/>
          <w:b w:val="0"/>
          <w:sz w:val="28"/>
        </w:rPr>
        <w:t>姓    名：____________________</w:t>
      </w:r>
    </w:p>
    <w:p>
      <w:pPr>
        <w:jc w:val="center"/>
      </w:pPr>
      <w:r>
        <w:rPr>
          <w:rFonts w:ascii="Times New Roman" w:hAnsi="Times New Roman" w:eastAsia="宋体"/>
          <w:b w:val="0"/>
          <w:sz w:val="28"/>
        </w:rPr>
        <w:t>指导教师：____________________</w:t>
      </w:r>
    </w:p>
    <w:p>
      <w:pPr>
        <w:jc w:val="center"/>
      </w:pPr>
      <w:r>
        <w:rPr>
          <w:rFonts w:ascii="Times New Roman" w:hAnsi="Times New Roman" w:eastAsia="宋体"/>
          <w:b w:val="0"/>
          <w:sz w:val="28"/>
        </w:rPr>
        <w:t>完成日期：2026年____月____日</w:t>
      </w:r>
    </w:p>
    <w:p>
      <w:r>
        <w:br w:type="page"/>
      </w:r>
    </w:p>
    <w:p>
      <w:pPr>
        <w:pStyle w:val="Heading1"/>
      </w:pPr>
      <w:r>
        <w:rPr>
          <w:rFonts w:ascii="Times New Roman" w:hAnsi="Times New Roman" w:eastAsia="黑体"/>
        </w:rPr>
        <w:t>摘  要</w:t>
      </w:r>
    </w:p>
    <w:p>
      <w:pPr>
        <w:ind w:firstLine="480"/>
      </w:pPr>
      <w:r>
        <w:rPr>
          <w:rFonts w:ascii="Times New Roman" w:hAnsi="Times New Roman" w:eastAsia="宋体"/>
          <w:b w:val="0"/>
          <w:sz w:val="24"/>
        </w:rPr>
        <w:t>随着具身智能与人形机器人技术的快速发展，灵巧手作为机器人与物理世界交互的核心末端执行器，其控制的实时性、触觉感知的精确性以及系统的可靠性成为制约其工业落地的关键瓶颈。本文针对当前灵巧手线束繁杂、视觉控制延迟高、缺少高灵敏度力闭环等工程痛点，设计并实现了一套低延迟、高可靠性的视触觉融合灵巧手控制系统。</w:t>
      </w:r>
    </w:p>
    <w:p>
      <w:pPr>
        <w:ind w:firstLine="480"/>
      </w:pPr>
      <w:r>
        <w:rPr>
          <w:rFonts w:ascii="Times New Roman" w:hAnsi="Times New Roman" w:eastAsia="宋体"/>
          <w:b w:val="0"/>
          <w:sz w:val="24"/>
        </w:rPr>
        <w:t>本系统采用"软硬协同、系统集成"的研发路线，主要工作包括：（1）基于STM32F407独立设计并制作了灵巧手专用控制主控板，集成微弱传感器信号调理电路与具备数模隔离及过流保护的电机驱动模块；（2）采用CAN总线拓扑结构串联各手指节点，设计了自定义紧凑型二进制通信协议，精简手腕线束；（3）在OrangePi AIpro的Ascend NPU上部署YOLOv8-pose模型实现手势识别，通过关键点映射算法将视觉信息转化为关节角度指令；（4）设计了"视觉前馈引导→触觉反馈接管"的双模态控制策略，下位机运行500Hz力闭环控制内核，实现对未知物体的自适应无损抓取。</w:t>
      </w:r>
    </w:p>
    <w:p>
      <w:pPr>
        <w:ind w:firstLine="480"/>
      </w:pPr>
      <w:r>
        <w:rPr>
          <w:rFonts w:ascii="Times New Roman" w:hAnsi="Times New Roman" w:eastAsia="宋体"/>
          <w:b w:val="0"/>
          <w:sz w:val="24"/>
        </w:rPr>
        <w:t>为验证系统各模块的技术选型合理性，本文开展了五组对比实验和消融实验，分别从模型精度、推理部署、通信方式、控制方式和轨迹平滑五个维度进行定量评估。同时利用MuJoCo物理仿真引擎在虚拟环境中完成了运动学映射和抓取策略的预验证。实验结果表明，本系统手势识别帧率达到30FPS，视觉到关节角度映射延迟低于50ms，CAN总线通信延迟低于2ms，力闭环控制频率达到500Hz以上。消融实验验证了力闭环控制对抓取成功率贡献最大（约提升17%），轨迹平滑对控制稳定性贡献次之。系统能够稳定抓取纸杯、网球、金属件等不同刚度的物体，验证了视触觉融合控制策略的有效性。</w:t>
      </w:r>
    </w:p>
    <w:p>
      <w:pPr>
        <w:ind w:firstLine="480"/>
      </w:pPr>
      <w:r>
        <w:rPr>
          <w:rFonts w:ascii="Times New Roman" w:hAnsi="Times New Roman" w:eastAsia="黑体"/>
          <w:b/>
          <w:sz w:val="24"/>
        </w:rPr>
        <w:t>关键词：</w:t>
      </w:r>
      <w:r>
        <w:rPr>
          <w:rFonts w:ascii="Times New Roman" w:hAnsi="Times New Roman" w:eastAsia="宋体"/>
          <w:b w:val="0"/>
          <w:sz w:val="24"/>
        </w:rPr>
        <w:t>灵巧手；视触觉融合；CAN总线；边缘AI；力闭环控制；MuJoCo仿真</w:t>
      </w:r>
    </w:p>
    <w:p>
      <w:r>
        <w:br w:type="page"/>
      </w:r>
    </w:p>
    <w:p>
      <w:pPr>
        <w:pStyle w:val="Heading1"/>
      </w:pPr>
      <w:r>
        <w:rPr>
          <w:rFonts w:ascii="Times New Roman" w:hAnsi="Times New Roman" w:eastAsia="黑体"/>
        </w:rPr>
        <w:t>Abstract</w:t>
      </w:r>
    </w:p>
    <w:p>
      <w:pPr>
        <w:ind w:firstLine="480"/>
      </w:pPr>
      <w:r>
        <w:rPr>
          <w:rFonts w:ascii="Times New Roman" w:hAnsi="Times New Roman" w:eastAsia="宋体"/>
          <w:b w:val="0"/>
          <w:sz w:val="24"/>
        </w:rPr>
        <w:t>With the rapid development of embodied intelligence and humanoid robot technology, dexterous hands, as the core end-effectors for robot interaction with the physical world, have become a critical bottleneck limiting industrial deployment. This thesis addresses the engineering challenges of complex wiring, high visual control latency, and lack of high-sensitivity force feedback in current dexterous hand systems, and designs and implements a low-latency, high-reliability visual-tactile fusion dexterous hand control system.</w:t>
      </w:r>
    </w:p>
    <w:p>
      <w:pPr>
        <w:ind w:firstLine="480"/>
      </w:pPr>
      <w:r>
        <w:rPr>
          <w:rFonts w:ascii="Times New Roman" w:hAnsi="Times New Roman" w:eastAsia="宋体"/>
          <w:b w:val="0"/>
          <w:sz w:val="24"/>
        </w:rPr>
        <w:t>The system adopts a hardware-software co-design approach. The main contributions include: (1) independently designing and fabricating a dedicated control PCB based on STM32F407, integrating weak sensor signal conditioning circuits and motor driver modules with digital-analog isolation and overcurrent protection; (2) employing CAN bus topology to connect finger nodes, with a custom compact binary communication protocol to simplify wrist wiring; (3) deploying YOLOv8-pose on the Ascend NPU of OrangePi AIpro for gesture recognition, mapping visual keypoints to joint angles; (4) designing a dual-modal control strategy with visual feedforward guidance and tactile feedback takeover, running a 500Hz force closed-loop control kernel for adaptive grasping of unknown objects.</w:t>
      </w:r>
    </w:p>
    <w:p>
      <w:pPr>
        <w:ind w:firstLine="480"/>
      </w:pPr>
      <w:r>
        <w:rPr>
          <w:rFonts w:ascii="Times New Roman" w:hAnsi="Times New Roman" w:eastAsia="宋体"/>
          <w:b w:val="0"/>
          <w:sz w:val="24"/>
        </w:rPr>
        <w:t>To validate the rationality of technical selections, five groups of comparative experiments and ablation studies were conducted, covering model accuracy, inference deployment, communication method, control strategy, and trajectory smoothing. MuJoCo physics simulation was also employed for pre-validation of kinematic mapping and grasping strategies. Experimental results show that the system achieves a gesture recognition frame rate of 30 FPS, visual-to-joint mapping latency below 50ms, CAN bus communication latency below 2ms, and force closed-loop control frequency above 500Hz. Ablation experiments demonstrate that force closed-loop control contributes the most to grasping success rate (approximately 17% improvement). The system can stably grasp objects of varying stiffness including paper cups, tennis balls, and metal parts.</w:t>
      </w:r>
    </w:p>
    <w:p>
      <w:r>
        <w:rPr>
          <w:rFonts w:ascii="Times New Roman" w:hAnsi="Times New Roman" w:eastAsia="Times New Roman"/>
          <w:b/>
          <w:sz w:val="24"/>
        </w:rPr>
        <w:t xml:space="preserve">Keywords: </w:t>
      </w:r>
      <w:r>
        <w:rPr>
          <w:rFonts w:ascii="Times New Roman" w:hAnsi="Times New Roman" w:eastAsia="Times New Roman"/>
          <w:b w:val="0"/>
          <w:sz w:val="24"/>
        </w:rPr>
        <w:t>Dexterous Hand; Visual-Tactile Fusion; CAN Bus; Edge AI; Force Closed-loop Control; MuJoCo Simulation</w:t>
      </w:r>
    </w:p>
    <w:p>
      <w:r>
        <w:br w:type="page"/>
      </w:r>
    </w:p>
    <w:p>
      <w:pPr>
        <w:pStyle w:val="Heading1"/>
      </w:pPr>
      <w:r>
        <w:rPr>
          <w:rFonts w:ascii="Times New Roman" w:hAnsi="Times New Roman" w:eastAsia="黑体"/>
        </w:rPr>
        <w:t>目  录</w:t>
      </w:r>
    </w:p>
    <w:p>
      <w:pPr>
        <w:spacing w:after="80"/>
      </w:pPr>
      <w:r>
        <w:rPr>
          <w:rFonts w:ascii="Times New Roman" w:hAnsi="Times New Roman" w:eastAsia="宋体"/>
          <w:b w:val="0"/>
          <w:sz w:val="24"/>
        </w:rPr>
        <w:t>第一章  绪论</w:t>
      </w:r>
    </w:p>
    <w:p>
      <w:pPr>
        <w:spacing w:after="80"/>
      </w:pPr>
      <w:r>
        <w:rPr>
          <w:rFonts w:ascii="Times New Roman" w:hAnsi="Times New Roman" w:eastAsia="宋体"/>
          <w:b w:val="0"/>
          <w:sz w:val="24"/>
        </w:rPr>
        <w:t xml:space="preserve">  1.1 研究背景与意义</w:t>
      </w:r>
    </w:p>
    <w:p>
      <w:pPr>
        <w:spacing w:after="80"/>
      </w:pPr>
      <w:r>
        <w:rPr>
          <w:rFonts w:ascii="Times New Roman" w:hAnsi="Times New Roman" w:eastAsia="宋体"/>
          <w:b w:val="0"/>
          <w:sz w:val="24"/>
        </w:rPr>
        <w:t xml:space="preserve">  1.2 国内外研究现状</w:t>
      </w:r>
    </w:p>
    <w:p>
      <w:pPr>
        <w:spacing w:after="80"/>
      </w:pPr>
      <w:r>
        <w:rPr>
          <w:rFonts w:ascii="Times New Roman" w:hAnsi="Times New Roman" w:eastAsia="宋体"/>
          <w:b w:val="0"/>
          <w:sz w:val="24"/>
        </w:rPr>
        <w:t xml:space="preserve">  1.3 研究内容与论文结构</w:t>
      </w:r>
    </w:p>
    <w:p>
      <w:pPr>
        <w:spacing w:after="80"/>
      </w:pPr>
      <w:r>
        <w:rPr>
          <w:rFonts w:ascii="Times New Roman" w:hAnsi="Times New Roman" w:eastAsia="宋体"/>
          <w:b w:val="0"/>
          <w:sz w:val="24"/>
        </w:rPr>
        <w:t>第二章  系统总体设计</w:t>
      </w:r>
    </w:p>
    <w:p>
      <w:pPr>
        <w:spacing w:after="80"/>
      </w:pPr>
      <w:r>
        <w:rPr>
          <w:rFonts w:ascii="Times New Roman" w:hAnsi="Times New Roman" w:eastAsia="宋体"/>
          <w:b w:val="0"/>
          <w:sz w:val="24"/>
        </w:rPr>
        <w:t xml:space="preserve">  2.1 系统需求分析</w:t>
      </w:r>
    </w:p>
    <w:p>
      <w:pPr>
        <w:spacing w:after="80"/>
      </w:pPr>
      <w:r>
        <w:rPr>
          <w:rFonts w:ascii="Times New Roman" w:hAnsi="Times New Roman" w:eastAsia="宋体"/>
          <w:b w:val="0"/>
          <w:sz w:val="24"/>
        </w:rPr>
        <w:t xml:space="preserve">  2.2 系统架构设计</w:t>
      </w:r>
    </w:p>
    <w:p>
      <w:pPr>
        <w:spacing w:after="80"/>
      </w:pPr>
      <w:r>
        <w:rPr>
          <w:rFonts w:ascii="Times New Roman" w:hAnsi="Times New Roman" w:eastAsia="宋体"/>
          <w:b w:val="0"/>
          <w:sz w:val="24"/>
        </w:rPr>
        <w:t xml:space="preserve">  2.3 技术选型</w:t>
      </w:r>
    </w:p>
    <w:p>
      <w:pPr>
        <w:spacing w:after="80"/>
      </w:pPr>
      <w:r>
        <w:rPr>
          <w:rFonts w:ascii="Times New Roman" w:hAnsi="Times New Roman" w:eastAsia="宋体"/>
          <w:b w:val="0"/>
          <w:sz w:val="24"/>
        </w:rPr>
        <w:t xml:space="preserve">  2.4 方法论论证</w:t>
      </w:r>
    </w:p>
    <w:p>
      <w:pPr>
        <w:spacing w:after="80"/>
      </w:pPr>
      <w:r>
        <w:rPr>
          <w:rFonts w:ascii="Times New Roman" w:hAnsi="Times New Roman" w:eastAsia="宋体"/>
          <w:b w:val="0"/>
          <w:sz w:val="24"/>
        </w:rPr>
        <w:t>第三章  硬件电路设计</w:t>
      </w:r>
    </w:p>
    <w:p>
      <w:pPr>
        <w:spacing w:after="80"/>
      </w:pPr>
      <w:r>
        <w:rPr>
          <w:rFonts w:ascii="Times New Roman" w:hAnsi="Times New Roman" w:eastAsia="宋体"/>
          <w:b w:val="0"/>
          <w:sz w:val="24"/>
        </w:rPr>
        <w:t xml:space="preserve">  3.1 主控电路设计</w:t>
      </w:r>
    </w:p>
    <w:p>
      <w:pPr>
        <w:spacing w:after="80"/>
      </w:pPr>
      <w:r>
        <w:rPr>
          <w:rFonts w:ascii="Times New Roman" w:hAnsi="Times New Roman" w:eastAsia="宋体"/>
          <w:b w:val="0"/>
          <w:sz w:val="24"/>
        </w:rPr>
        <w:t xml:space="preserve">  3.2 传感器信号调理电路</w:t>
      </w:r>
    </w:p>
    <w:p>
      <w:pPr>
        <w:spacing w:after="80"/>
      </w:pPr>
      <w:r>
        <w:rPr>
          <w:rFonts w:ascii="Times New Roman" w:hAnsi="Times New Roman" w:eastAsia="宋体"/>
          <w:b w:val="0"/>
          <w:sz w:val="24"/>
        </w:rPr>
        <w:t xml:space="preserve">  3.3 电机驱动电路</w:t>
      </w:r>
    </w:p>
    <w:p>
      <w:pPr>
        <w:spacing w:after="80"/>
      </w:pPr>
      <w:r>
        <w:rPr>
          <w:rFonts w:ascii="Times New Roman" w:hAnsi="Times New Roman" w:eastAsia="宋体"/>
          <w:b w:val="0"/>
          <w:sz w:val="24"/>
        </w:rPr>
        <w:t xml:space="preserve">  3.4 CAN总线接口电路</w:t>
      </w:r>
    </w:p>
    <w:p>
      <w:pPr>
        <w:spacing w:after="80"/>
      </w:pPr>
      <w:r>
        <w:rPr>
          <w:rFonts w:ascii="Times New Roman" w:hAnsi="Times New Roman" w:eastAsia="宋体"/>
          <w:b w:val="0"/>
          <w:sz w:val="24"/>
        </w:rPr>
        <w:t xml:space="preserve">  3.5 PCB设计与制板</w:t>
      </w:r>
    </w:p>
    <w:p>
      <w:pPr>
        <w:spacing w:after="80"/>
      </w:pPr>
      <w:r>
        <w:rPr>
          <w:rFonts w:ascii="Times New Roman" w:hAnsi="Times New Roman" w:eastAsia="宋体"/>
          <w:b w:val="0"/>
          <w:sz w:val="24"/>
        </w:rPr>
        <w:t xml:space="preserve">  3.6 安全保护电路</w:t>
      </w:r>
    </w:p>
    <w:p>
      <w:pPr>
        <w:spacing w:after="80"/>
      </w:pPr>
      <w:r>
        <w:rPr>
          <w:rFonts w:ascii="Times New Roman" w:hAnsi="Times New Roman" w:eastAsia="宋体"/>
          <w:b w:val="0"/>
          <w:sz w:val="24"/>
        </w:rPr>
        <w:t>第四章  嵌入式固件开发</w:t>
      </w:r>
    </w:p>
    <w:p>
      <w:pPr>
        <w:spacing w:after="80"/>
      </w:pPr>
      <w:r>
        <w:rPr>
          <w:rFonts w:ascii="Times New Roman" w:hAnsi="Times New Roman" w:eastAsia="宋体"/>
          <w:b w:val="0"/>
          <w:sz w:val="24"/>
        </w:rPr>
        <w:t xml:space="preserve">  4.1 CAN总线通信协议实现</w:t>
      </w:r>
    </w:p>
    <w:p>
      <w:pPr>
        <w:spacing w:after="80"/>
      </w:pPr>
      <w:r>
        <w:rPr>
          <w:rFonts w:ascii="Times New Roman" w:hAnsi="Times New Roman" w:eastAsia="宋体"/>
          <w:b w:val="0"/>
          <w:sz w:val="24"/>
        </w:rPr>
        <w:t xml:space="preserve">  4.2 电机驱动与PWM控制</w:t>
      </w:r>
    </w:p>
    <w:p>
      <w:pPr>
        <w:spacing w:after="80"/>
      </w:pPr>
      <w:r>
        <w:rPr>
          <w:rFonts w:ascii="Times New Roman" w:hAnsi="Times New Roman" w:eastAsia="宋体"/>
          <w:b w:val="0"/>
          <w:sz w:val="24"/>
        </w:rPr>
        <w:t xml:space="preserve">  4.3 力闭环PID控制内核</w:t>
      </w:r>
    </w:p>
    <w:p>
      <w:pPr>
        <w:spacing w:after="80"/>
      </w:pPr>
      <w:r>
        <w:rPr>
          <w:rFonts w:ascii="Times New Roman" w:hAnsi="Times New Roman" w:eastAsia="宋体"/>
          <w:b w:val="0"/>
          <w:sz w:val="24"/>
        </w:rPr>
        <w:t xml:space="preserve">  4.4 安全保护机制</w:t>
      </w:r>
    </w:p>
    <w:p>
      <w:pPr>
        <w:spacing w:after="80"/>
      </w:pPr>
      <w:r>
        <w:rPr>
          <w:rFonts w:ascii="Times New Roman" w:hAnsi="Times New Roman" w:eastAsia="宋体"/>
          <w:b w:val="0"/>
          <w:sz w:val="24"/>
        </w:rPr>
        <w:t>第五章  视觉算法部署</w:t>
      </w:r>
    </w:p>
    <w:p>
      <w:pPr>
        <w:spacing w:after="80"/>
      </w:pPr>
      <w:r>
        <w:rPr>
          <w:rFonts w:ascii="Times New Roman" w:hAnsi="Times New Roman" w:eastAsia="宋体"/>
          <w:b w:val="0"/>
          <w:sz w:val="24"/>
        </w:rPr>
        <w:t xml:space="preserve">  5.1 YOLOv8-pose模型训练</w:t>
      </w:r>
    </w:p>
    <w:p>
      <w:pPr>
        <w:spacing w:after="80"/>
      </w:pPr>
      <w:r>
        <w:rPr>
          <w:rFonts w:ascii="Times New Roman" w:hAnsi="Times New Roman" w:eastAsia="宋体"/>
          <w:b w:val="0"/>
          <w:sz w:val="24"/>
        </w:rPr>
        <w:t xml:space="preserve">  5.2 CANN NPU部署</w:t>
      </w:r>
    </w:p>
    <w:p>
      <w:pPr>
        <w:spacing w:after="80"/>
      </w:pPr>
      <w:r>
        <w:rPr>
          <w:rFonts w:ascii="Times New Roman" w:hAnsi="Times New Roman" w:eastAsia="宋体"/>
          <w:b w:val="0"/>
          <w:sz w:val="24"/>
        </w:rPr>
        <w:t xml:space="preserve">  5.3 关键点映射与轨迹平滑</w:t>
      </w:r>
    </w:p>
    <w:p>
      <w:pPr>
        <w:spacing w:after="80"/>
      </w:pPr>
      <w:r>
        <w:rPr>
          <w:rFonts w:ascii="Times New Roman" w:hAnsi="Times New Roman" w:eastAsia="宋体"/>
          <w:b w:val="0"/>
          <w:sz w:val="24"/>
        </w:rPr>
        <w:t>第六章  MuJoCo仿真验证</w:t>
      </w:r>
    </w:p>
    <w:p>
      <w:pPr>
        <w:spacing w:after="80"/>
      </w:pPr>
      <w:r>
        <w:rPr>
          <w:rFonts w:ascii="Times New Roman" w:hAnsi="Times New Roman" w:eastAsia="宋体"/>
          <w:b w:val="0"/>
          <w:sz w:val="24"/>
        </w:rPr>
        <w:t xml:space="preserve">  6.1 仿真环境搭建</w:t>
      </w:r>
    </w:p>
    <w:p>
      <w:pPr>
        <w:spacing w:after="80"/>
      </w:pPr>
      <w:r>
        <w:rPr>
          <w:rFonts w:ascii="Times New Roman" w:hAnsi="Times New Roman" w:eastAsia="宋体"/>
          <w:b w:val="0"/>
          <w:sz w:val="24"/>
        </w:rPr>
        <w:t xml:space="preserve">  6.2 运动学映射验证</w:t>
      </w:r>
    </w:p>
    <w:p>
      <w:pPr>
        <w:spacing w:after="80"/>
      </w:pPr>
      <w:r>
        <w:rPr>
          <w:rFonts w:ascii="Times New Roman" w:hAnsi="Times New Roman" w:eastAsia="宋体"/>
          <w:b w:val="0"/>
          <w:sz w:val="24"/>
        </w:rPr>
        <w:t xml:space="preserve">  6.3 物体抓取仿真</w:t>
      </w:r>
    </w:p>
    <w:p>
      <w:pPr>
        <w:spacing w:after="80"/>
      </w:pPr>
      <w:r>
        <w:rPr>
          <w:rFonts w:ascii="Times New Roman" w:hAnsi="Times New Roman" w:eastAsia="宋体"/>
          <w:b w:val="0"/>
          <w:sz w:val="24"/>
        </w:rPr>
        <w:t xml:space="preserve">  6.4 仿真与实物一致性分析</w:t>
      </w:r>
    </w:p>
    <w:p>
      <w:pPr>
        <w:spacing w:after="80"/>
      </w:pPr>
      <w:r>
        <w:rPr>
          <w:rFonts w:ascii="Times New Roman" w:hAnsi="Times New Roman" w:eastAsia="宋体"/>
          <w:b w:val="0"/>
          <w:sz w:val="24"/>
        </w:rPr>
        <w:t>第七章  系统集成与测试</w:t>
      </w:r>
    </w:p>
    <w:p>
      <w:pPr>
        <w:spacing w:after="80"/>
      </w:pPr>
      <w:r>
        <w:rPr>
          <w:rFonts w:ascii="Times New Roman" w:hAnsi="Times New Roman" w:eastAsia="宋体"/>
          <w:b w:val="0"/>
          <w:sz w:val="24"/>
        </w:rPr>
        <w:t xml:space="preserve">  7.1 机械结构组装</w:t>
      </w:r>
    </w:p>
    <w:p>
      <w:pPr>
        <w:spacing w:after="80"/>
      </w:pPr>
      <w:r>
        <w:rPr>
          <w:rFonts w:ascii="Times New Roman" w:hAnsi="Times New Roman" w:eastAsia="宋体"/>
          <w:b w:val="0"/>
          <w:sz w:val="24"/>
        </w:rPr>
        <w:t xml:space="preserve">  7.2 系统联调</w:t>
      </w:r>
    </w:p>
    <w:p>
      <w:pPr>
        <w:spacing w:after="80"/>
      </w:pPr>
      <w:r>
        <w:rPr>
          <w:rFonts w:ascii="Times New Roman" w:hAnsi="Times New Roman" w:eastAsia="宋体"/>
          <w:b w:val="0"/>
          <w:sz w:val="24"/>
        </w:rPr>
        <w:t xml:space="preserve">  7.3 对比实验</w:t>
      </w:r>
    </w:p>
    <w:p>
      <w:pPr>
        <w:spacing w:after="80"/>
      </w:pPr>
      <w:r>
        <w:rPr>
          <w:rFonts w:ascii="Times New Roman" w:hAnsi="Times New Roman" w:eastAsia="宋体"/>
          <w:b w:val="0"/>
          <w:sz w:val="24"/>
        </w:rPr>
        <w:t xml:space="preserve">  7.4 消融实验</w:t>
      </w:r>
    </w:p>
    <w:p>
      <w:pPr>
        <w:spacing w:after="80"/>
      </w:pPr>
      <w:r>
        <w:rPr>
          <w:rFonts w:ascii="Times New Roman" w:hAnsi="Times New Roman" w:eastAsia="宋体"/>
          <w:b w:val="0"/>
          <w:sz w:val="24"/>
        </w:rPr>
        <w:t xml:space="preserve">  7.5 抓取测试与数据分析</w:t>
      </w:r>
    </w:p>
    <w:p>
      <w:pPr>
        <w:spacing w:after="80"/>
      </w:pPr>
      <w:r>
        <w:rPr>
          <w:rFonts w:ascii="Times New Roman" w:hAnsi="Times New Roman" w:eastAsia="宋体"/>
          <w:b w:val="0"/>
          <w:sz w:val="24"/>
        </w:rPr>
        <w:t>第八章  总结与展望</w:t>
      </w:r>
    </w:p>
    <w:p>
      <w:pPr>
        <w:spacing w:after="80"/>
      </w:pPr>
      <w:r>
        <w:rPr>
          <w:rFonts w:ascii="Times New Roman" w:hAnsi="Times New Roman" w:eastAsia="宋体"/>
          <w:b w:val="0"/>
          <w:sz w:val="24"/>
        </w:rPr>
        <w:t xml:space="preserve">  8.1 工作总结</w:t>
      </w:r>
    </w:p>
    <w:p>
      <w:pPr>
        <w:spacing w:after="80"/>
      </w:pPr>
      <w:r>
        <w:rPr>
          <w:rFonts w:ascii="Times New Roman" w:hAnsi="Times New Roman" w:eastAsia="宋体"/>
          <w:b w:val="0"/>
          <w:sz w:val="24"/>
        </w:rPr>
        <w:t xml:space="preserve">  8.2 不足与展望</w:t>
      </w:r>
    </w:p>
    <w:p>
      <w:pPr>
        <w:spacing w:after="80"/>
      </w:pPr>
      <w:r>
        <w:rPr>
          <w:rFonts w:ascii="Times New Roman" w:hAnsi="Times New Roman" w:eastAsia="宋体"/>
          <w:b w:val="0"/>
          <w:sz w:val="24"/>
        </w:rPr>
        <w:t>参考文献</w:t>
      </w:r>
    </w:p>
    <w:p>
      <w:pPr>
        <w:spacing w:after="80"/>
      </w:pPr>
      <w:r>
        <w:rPr>
          <w:rFonts w:ascii="Times New Roman" w:hAnsi="Times New Roman" w:eastAsia="宋体"/>
          <w:b w:val="0"/>
          <w:sz w:val="24"/>
        </w:rPr>
        <w:t>致谢</w:t>
      </w:r>
    </w:p>
    <w:p>
      <w:r>
        <w:br w:type="page"/>
      </w:r>
    </w:p>
    <w:p>
      <w:pPr>
        <w:pStyle w:val="Heading1"/>
      </w:pPr>
      <w:r>
        <w:rPr>
          <w:rFonts w:ascii="Times New Roman" w:hAnsi="Times New Roman" w:eastAsia="黑体"/>
        </w:rPr>
        <w:t>第一章  绪论</w:t>
      </w:r>
    </w:p>
    <w:p>
      <w:pPr>
        <w:pStyle w:val="Heading2"/>
      </w:pPr>
      <w:r>
        <w:rPr>
          <w:rFonts w:ascii="Times New Roman" w:hAnsi="Times New Roman" w:eastAsia="黑体"/>
        </w:rPr>
        <w:t>1.1 研究背景与意义</w:t>
      </w:r>
    </w:p>
    <w:p>
      <w:pPr>
        <w:ind w:firstLine="480"/>
      </w:pPr>
      <w:r>
        <w:rPr>
          <w:rFonts w:ascii="Times New Roman" w:hAnsi="Times New Roman" w:eastAsia="宋体"/>
          <w:b w:val="0"/>
          <w:sz w:val="24"/>
        </w:rPr>
        <w:t>随着具身智能与人形机器人技术的快速发展，灵巧手作为机器人与物理世界交互的核心末端执行器，已成为制约机器人从"能动"到"能用"的关键瓶颈。2024年以来，国内外多家企业纷纷布局灵巧手赛道，推动了对高集成度、低延迟、具备触觉感知能力的灵巧手控制系统的迫切需求。</w:t>
      </w:r>
    </w:p>
    <w:p>
      <w:pPr>
        <w:ind w:firstLine="480"/>
      </w:pPr>
      <w:r>
        <w:rPr>
          <w:rFonts w:ascii="Times New Roman" w:hAnsi="Times New Roman" w:eastAsia="宋体"/>
          <w:b w:val="0"/>
          <w:sz w:val="24"/>
        </w:rPr>
        <w:t>然而，当前灵巧手领域仍存在以下工程痛点：第一，传统灵巧手采用点对点引线连接各手指电机与传感器，导致手腕处线缆密集，可靠性差、维护困难；第二，多数研究方案依赖PC端运行视觉算法，通过USB串口下发指令，端到端延迟普遍在100ms以上，无法满足实时遥操作需求；第三，多数低成本方案仅实现位置开环控制，缺乏触觉反馈与力矩闭环，无法自适应抓取不同刚度的物体。</w:t>
      </w:r>
    </w:p>
    <w:p>
      <w:pPr>
        <w:ind w:firstLine="480"/>
      </w:pPr>
      <w:r>
        <w:rPr>
          <w:rFonts w:ascii="Times New Roman" w:hAnsi="Times New Roman" w:eastAsia="宋体"/>
          <w:b w:val="0"/>
          <w:sz w:val="24"/>
        </w:rPr>
        <w:t>本课题旨在针对上述痛点，设计并实现一套低延迟、高可靠性的视触觉融合灵巧手控制系统。从理论层面，本研究探索视觉前馈与触觉反馈的融合控制策略，研究从"视觉引导→位置控制→触觉接管→力矩闭环"的多模态切换机制，为灵巧手的控制理论提供新的工程实现参考。从实际层面，通过独立设计PCB控制板、构建CAN总线分布式通信网络、部署边缘AI推理节点，形成一套可复现、低成本、高性能的灵巧手电控系统原型，为后续具身智能研究提供硬件基座。</w:t>
      </w:r>
    </w:p>
    <w:p>
      <w:pPr>
        <w:pStyle w:val="Heading2"/>
      </w:pPr>
      <w:r>
        <w:rPr>
          <w:rFonts w:ascii="Times New Roman" w:hAnsi="Times New Roman" w:eastAsia="黑体"/>
        </w:rPr>
        <w:t>1.2 国内外研究现状</w:t>
      </w:r>
    </w:p>
    <w:p>
      <w:pPr>
        <w:ind w:firstLine="480"/>
      </w:pPr>
      <w:r>
        <w:rPr>
          <w:rFonts w:ascii="Times New Roman" w:hAnsi="Times New Roman" w:eastAsia="宋体"/>
          <w:b w:val="0"/>
          <w:sz w:val="24"/>
        </w:rPr>
        <w:t>在灵巧手硬件平台方面，英国Shadow Robot公司的Shadow Dexterous Hand具有24自由度和工业级精度，但成本超过10万美元，难以在学术和教育领域普及[1]。美国卡内基梅隆大学的Qin等人提出了LEAP Hand方案，采用低成本3D打印和模块化设计实现了16自由度灵巧手，但缺乏触觉感知能力[2]。开源社区的InMoov Hand可全3D打印、便于DIY，但结构精度和集成电控方面仍有不足。Bicchi在其综述中指出，灵巧手设计面临"高适应性"与"低复杂度"之间的根本性矛盾[3]。当前开源灵巧手领域存在明显的"高性价比+高集成度"空白。</w:t>
      </w:r>
    </w:p>
    <w:p>
      <w:pPr>
        <w:ind w:firstLine="480"/>
      </w:pPr>
      <w:r>
        <w:rPr>
          <w:rFonts w:ascii="Times New Roman" w:hAnsi="Times New Roman" w:eastAsia="宋体"/>
          <w:b w:val="0"/>
          <w:sz w:val="24"/>
        </w:rPr>
        <w:t>在触觉感知技术方面，Dahiya等人系统综述了从人类到机器人的触觉传感技术发展，对比了电阻式、电容式、压电式等各类传感器的原理与特性[6]。FSR（力敏电阻）成本低、易集成，适合大面积覆盖，但线性度较差需标定补偿；PVDF压电薄膜动态响应快，适合滑动检测，但信号调理复杂；柔性电容式传感器精度高，但制造工艺复杂，不适合DIY场景。Johansson与Flanagan在Nature Reviews Neuroscience上指出，人类抓取动作依赖视觉和触觉的协同作用，视觉负责预抓取规划，触觉负责抓取维持和力调节[7]。本课题选用FSR方案，通过精密运放与硬件低通滤波的信号调理电路提升信噪比，兼顾成本与实用性。</w:t>
      </w:r>
    </w:p>
    <w:p>
      <w:pPr>
        <w:ind w:firstLine="480"/>
      </w:pPr>
      <w:r>
        <w:rPr>
          <w:rFonts w:ascii="Times New Roman" w:hAnsi="Times New Roman" w:eastAsia="宋体"/>
          <w:b w:val="0"/>
          <w:sz w:val="24"/>
        </w:rPr>
        <w:t>在通信架构方面，传统灵巧手多采用I2C/SPI点对点通信，线束数量随自由度线性增长。Farsi等人概述了CAN总线在工业控制中的应用优势，包括多主架构、硬件级错误检测和实时性[15]。Etschberger在其著作中详细阐述了CAN 2.0B协议的物理层和数据链路层设计[14]。Lucas等人研究了CAN总线在模块化机电系统中的应用，其网络拓扑设计策略为本课题提供了工程参考[16]。本课题引入CAN总线拓扑，将线束从O(n)降至O(1)。</w:t>
      </w:r>
    </w:p>
    <w:p>
      <w:pPr>
        <w:ind w:firstLine="480"/>
      </w:pPr>
      <w:r>
        <w:rPr>
          <w:rFonts w:ascii="Times New Roman" w:hAnsi="Times New Roman" w:eastAsia="宋体"/>
          <w:b w:val="0"/>
          <w:sz w:val="24"/>
        </w:rPr>
        <w:t>在视觉伺服与手势识别方面，Handa等人实现了基于人体姿态估计的灵巧手遥操作，其关键点到关节角度的映射算法直接适用于本课题[21]。Zhang等人提出的快速人体姿态估计方法为边缘设备上的实时关键点检测提供了算法优化思路[10]。Ultralytics的YOLOv8-pose模型支持关键点检测且可部署在NPU上[12]。华为CANN工具链为Ascend NPU提供了完整的模型部署方案[4]。本课题采用YOLOv8-pose部署在OrangePi AIpro的Ascend NPU上，实现无需PC的独立手势识别。</w:t>
      </w:r>
    </w:p>
    <w:p>
      <w:pPr>
        <w:ind w:firstLine="480"/>
      </w:pPr>
      <w:r>
        <w:rPr>
          <w:rFonts w:ascii="Times New Roman" w:hAnsi="Times New Roman" w:eastAsia="宋体"/>
          <w:b w:val="0"/>
          <w:sz w:val="24"/>
        </w:rPr>
        <w:t>在仿真验证方面，Todorov等人提出的MuJoCo物理引擎已成为机器人控制领域的标准仿真工具[23]。OpenAI团队在MuJoCo中训练灵巧手抓取策略并成功迁移到实物（sim-to-real），其仿真环境搭建和域随机化方法为本课题的仿真验证提供了重要参考[24]。</w:t>
      </w:r>
    </w:p>
    <w:p>
      <w:pPr>
        <w:pStyle w:val="Heading2"/>
      </w:pPr>
      <w:r>
        <w:rPr>
          <w:rFonts w:ascii="Times New Roman" w:hAnsi="Times New Roman" w:eastAsia="黑体"/>
        </w:rPr>
        <w:t>1.3 研究内容与论文结构</w:t>
      </w:r>
    </w:p>
    <w:p>
      <w:pPr>
        <w:ind w:firstLine="480"/>
      </w:pPr>
      <w:r>
        <w:rPr>
          <w:rFonts w:ascii="Times New Roman" w:hAnsi="Times New Roman" w:eastAsia="宋体"/>
          <w:b w:val="0"/>
          <w:sz w:val="24"/>
        </w:rPr>
        <w:t>本文的研究内容主要包括五个方面：（1）高集成度硬件电路板（PCB）设计，包括微控制器最小系统、传感器信号调理电路、电机驱动模块、CAN总线接口和安全保护电路；（2）低延迟分布式总线网络构建，基于CAN总线设计自定义紧凑型二进制通信协议；（3）视触觉融合的高频闭环控制算法，包括视觉前馈端的手势识别与关键点映射，以及嵌入式控制端的力闭环PID控制；（4）MuJoCo仿真环境搭建与抓取策略预验证；（5）对比实验与消融实验，系统评估各技术选型的合理性。</w:t>
      </w:r>
    </w:p>
    <w:p>
      <w:pPr>
        <w:ind w:firstLine="480"/>
      </w:pPr>
      <w:r>
        <w:rPr>
          <w:rFonts w:ascii="Times New Roman" w:hAnsi="Times New Roman" w:eastAsia="宋体"/>
          <w:b w:val="0"/>
          <w:sz w:val="24"/>
        </w:rPr>
        <w:t>本文共分为八章。第一章为绪论，介绍研究背景、国内外现状和研究内容。第二章为系统总体设计，阐述需求分析、架构设计、技术选型和方法论论证。第三章为硬件电路设计，详述各功能模块的电路原理、PCB设计和安全保护电路。第四章为嵌入式固件开发，介绍CAN通信、电机驱动、力闭环控制和安全保护机制的实现。第五章为视觉算法部署，描述YOLOv8-pose模型的训练与CANN NPU部署。第六章为MuJoCo仿真验证，展示仿真环境搭建、运动学映射验证和抓取仿真结果。第七章为系统集成与测试，展示全链路联调、对比实验、消融实验与性能分析。第八章为总结与展望。</w:t>
      </w:r>
    </w:p>
    <w:p>
      <w:r>
        <w:br w:type="page"/>
      </w:r>
    </w:p>
    <w:p>
      <w:pPr>
        <w:pStyle w:val="Heading1"/>
      </w:pPr>
      <w:r>
        <w:rPr>
          <w:rFonts w:ascii="Times New Roman" w:hAnsi="Times New Roman" w:eastAsia="黑体"/>
        </w:rPr>
        <w:t>第二章  系统总体设计</w:t>
      </w:r>
    </w:p>
    <w:p>
      <w:pPr>
        <w:pStyle w:val="Heading2"/>
      </w:pPr>
      <w:r>
        <w:rPr>
          <w:rFonts w:ascii="Times New Roman" w:hAnsi="Times New Roman" w:eastAsia="黑体"/>
        </w:rPr>
        <w:t>2.1 系统需求分析</w:t>
      </w:r>
    </w:p>
    <w:p>
      <w:pPr>
        <w:ind w:firstLine="480"/>
      </w:pPr>
      <w:r>
        <w:rPr>
          <w:rFonts w:ascii="Times New Roman" w:hAnsi="Times New Roman" w:eastAsia="宋体"/>
          <w:b w:val="0"/>
          <w:sz w:val="24"/>
        </w:rPr>
        <w:t>根据灵巧手遥操作与自适应抓取的应用场景，本系统的功能需求与性能指标如下表所示。其中，手势识别帧率和映射延迟直接影响遥操作的实时性和操控体验；CAN通信延迟决定了指令下发的实时性；力闭环控制频率则决定了自适应抓取的响应速度。</w:t>
      </w:r>
    </w:p>
    <w:tbl>
      <w:tblPr>
        <w:tblStyle w:val="TableGrid"/>
        <w:tblW w:type="auto" w:w="0"/>
        <w:jc w:val="center"/>
        <w:tblLook w:firstColumn="1" w:firstRow="1" w:lastColumn="0" w:lastRow="0" w:noHBand="0" w:noVBand="1" w:val="04A0"/>
      </w:tblPr>
      <w:tblGrid>
        <w:gridCol w:w="2882"/>
        <w:gridCol w:w="2882"/>
        <w:gridCol w:w="2882"/>
      </w:tblGrid>
      <w:tr>
        <w:tc>
          <w:tcPr>
            <w:tcW w:type="dxa" w:w="2882"/>
            <w:shd w:fill="1F4E79" w:val="clear"/>
          </w:tcPr>
          <w:p>
            <w:r/>
            <w:r>
              <w:rPr>
                <w:rFonts w:ascii="Times New Roman" w:hAnsi="Times New Roman" w:eastAsia="黑体"/>
                <w:b/>
                <w:color w:val="FFFFFF"/>
                <w:sz w:val="20"/>
              </w:rPr>
              <w:t>指标</w:t>
            </w:r>
          </w:p>
        </w:tc>
        <w:tc>
          <w:tcPr>
            <w:tcW w:type="dxa" w:w="2882"/>
            <w:shd w:fill="1F4E79" w:val="clear"/>
          </w:tcPr>
          <w:p>
            <w:r/>
            <w:r>
              <w:rPr>
                <w:rFonts w:ascii="Times New Roman" w:hAnsi="Times New Roman" w:eastAsia="黑体"/>
                <w:b/>
                <w:color w:val="FFFFFF"/>
                <w:sz w:val="20"/>
              </w:rPr>
              <w:t>目标值</w:t>
            </w:r>
          </w:p>
        </w:tc>
        <w:tc>
          <w:tcPr>
            <w:tcW w:type="dxa" w:w="2882"/>
            <w:shd w:fill="1F4E79" w:val="clear"/>
          </w:tcPr>
          <w:p>
            <w:r/>
            <w:r>
              <w:rPr>
                <w:rFonts w:ascii="Times New Roman" w:hAnsi="Times New Roman" w:eastAsia="黑体"/>
                <w:b/>
                <w:color w:val="FFFFFF"/>
                <w:sz w:val="20"/>
              </w:rPr>
              <w:t>说明</w:t>
            </w:r>
          </w:p>
        </w:tc>
      </w:tr>
      <w:tr>
        <w:tc>
          <w:tcPr>
            <w:tcW w:type="dxa" w:w="2882"/>
          </w:tcPr>
          <w:p>
            <w:r/>
            <w:r>
              <w:rPr>
                <w:rFonts w:ascii="Times New Roman" w:hAnsi="Times New Roman" w:eastAsia="宋体"/>
                <w:sz w:val="20"/>
              </w:rPr>
              <w:t>手势识别帧率</w:t>
            </w:r>
          </w:p>
        </w:tc>
        <w:tc>
          <w:tcPr>
            <w:tcW w:type="dxa" w:w="2882"/>
          </w:tcPr>
          <w:p>
            <w:r/>
            <w:r>
              <w:rPr>
                <w:rFonts w:ascii="Times New Roman" w:hAnsi="Times New Roman" w:eastAsia="宋体"/>
                <w:sz w:val="20"/>
              </w:rPr>
              <w:t>&gt;= 30 FPS</w:t>
            </w:r>
          </w:p>
        </w:tc>
        <w:tc>
          <w:tcPr>
            <w:tcW w:type="dxa" w:w="2882"/>
          </w:tcPr>
          <w:p>
            <w:r/>
            <w:r>
              <w:rPr>
                <w:rFonts w:ascii="Times New Roman" w:hAnsi="Times New Roman" w:eastAsia="宋体"/>
                <w:sz w:val="20"/>
              </w:rPr>
              <w:t>满足实时遥操作需求</w:t>
            </w:r>
          </w:p>
        </w:tc>
      </w:tr>
      <w:tr>
        <w:tc>
          <w:tcPr>
            <w:tcW w:type="dxa" w:w="2882"/>
          </w:tcPr>
          <w:p>
            <w:r/>
            <w:r>
              <w:rPr>
                <w:rFonts w:ascii="Times New Roman" w:hAnsi="Times New Roman" w:eastAsia="宋体"/>
                <w:sz w:val="20"/>
              </w:rPr>
              <w:t>视觉-&gt;关节角度映射延迟</w:t>
            </w:r>
          </w:p>
        </w:tc>
        <w:tc>
          <w:tcPr>
            <w:tcW w:type="dxa" w:w="2882"/>
          </w:tcPr>
          <w:p>
            <w:r/>
            <w:r>
              <w:rPr>
                <w:rFonts w:ascii="Times New Roman" w:hAnsi="Times New Roman" w:eastAsia="宋体"/>
                <w:sz w:val="20"/>
              </w:rPr>
              <w:t>&lt;= 50ms</w:t>
            </w:r>
          </w:p>
        </w:tc>
        <w:tc>
          <w:tcPr>
            <w:tcW w:type="dxa" w:w="2882"/>
          </w:tcPr>
          <w:p>
            <w:r/>
            <w:r>
              <w:rPr>
                <w:rFonts w:ascii="Times New Roman" w:hAnsi="Times New Roman" w:eastAsia="宋体"/>
                <w:sz w:val="20"/>
              </w:rPr>
              <w:t>从摄像头到关节角度输出</w:t>
            </w:r>
          </w:p>
        </w:tc>
      </w:tr>
      <w:tr>
        <w:tc>
          <w:tcPr>
            <w:tcW w:type="dxa" w:w="2882"/>
          </w:tcPr>
          <w:p>
            <w:r/>
            <w:r>
              <w:rPr>
                <w:rFonts w:ascii="Times New Roman" w:hAnsi="Times New Roman" w:eastAsia="宋体"/>
                <w:sz w:val="20"/>
              </w:rPr>
              <w:t>CAN总线通信延迟</w:t>
            </w:r>
          </w:p>
        </w:tc>
        <w:tc>
          <w:tcPr>
            <w:tcW w:type="dxa" w:w="2882"/>
          </w:tcPr>
          <w:p>
            <w:r/>
            <w:r>
              <w:rPr>
                <w:rFonts w:ascii="Times New Roman" w:hAnsi="Times New Roman" w:eastAsia="宋体"/>
                <w:sz w:val="20"/>
              </w:rPr>
              <w:t>&lt;= 2ms</w:t>
            </w:r>
          </w:p>
        </w:tc>
        <w:tc>
          <w:tcPr>
            <w:tcW w:type="dxa" w:w="2882"/>
          </w:tcPr>
          <w:p>
            <w:r/>
            <w:r>
              <w:rPr>
                <w:rFonts w:ascii="Times New Roman" w:hAnsi="Times New Roman" w:eastAsia="宋体"/>
                <w:sz w:val="20"/>
              </w:rPr>
              <w:t>单帧传输延迟</w:t>
            </w:r>
          </w:p>
        </w:tc>
      </w:tr>
      <w:tr>
        <w:tc>
          <w:tcPr>
            <w:tcW w:type="dxa" w:w="2882"/>
          </w:tcPr>
          <w:p>
            <w:r/>
            <w:r>
              <w:rPr>
                <w:rFonts w:ascii="Times New Roman" w:hAnsi="Times New Roman" w:eastAsia="宋体"/>
                <w:sz w:val="20"/>
              </w:rPr>
              <w:t>力闭环控制频率</w:t>
            </w:r>
          </w:p>
        </w:tc>
        <w:tc>
          <w:tcPr>
            <w:tcW w:type="dxa" w:w="2882"/>
          </w:tcPr>
          <w:p>
            <w:r/>
            <w:r>
              <w:rPr>
                <w:rFonts w:ascii="Times New Roman" w:hAnsi="Times New Roman" w:eastAsia="宋体"/>
                <w:sz w:val="20"/>
              </w:rPr>
              <w:t>&gt;= 500 Hz</w:t>
            </w:r>
          </w:p>
        </w:tc>
        <w:tc>
          <w:tcPr>
            <w:tcW w:type="dxa" w:w="2882"/>
          </w:tcPr>
          <w:p>
            <w:r/>
            <w:r>
              <w:rPr>
                <w:rFonts w:ascii="Times New Roman" w:hAnsi="Times New Roman" w:eastAsia="宋体"/>
                <w:sz w:val="20"/>
              </w:rPr>
              <w:t>满足柔顺抓取需求</w:t>
            </w:r>
          </w:p>
        </w:tc>
      </w:tr>
      <w:tr>
        <w:tc>
          <w:tcPr>
            <w:tcW w:type="dxa" w:w="2882"/>
          </w:tcPr>
          <w:p>
            <w:r/>
            <w:r>
              <w:rPr>
                <w:rFonts w:ascii="Times New Roman" w:hAnsi="Times New Roman" w:eastAsia="宋体"/>
                <w:sz w:val="20"/>
              </w:rPr>
              <w:t>可抓取物体刚度范围</w:t>
            </w:r>
          </w:p>
        </w:tc>
        <w:tc>
          <w:tcPr>
            <w:tcW w:type="dxa" w:w="2882"/>
          </w:tcPr>
          <w:p>
            <w:r/>
            <w:r>
              <w:rPr>
                <w:rFonts w:ascii="Times New Roman" w:hAnsi="Times New Roman" w:eastAsia="宋体"/>
                <w:sz w:val="20"/>
              </w:rPr>
              <w:t>纸杯(软)~金属件(硬)</w:t>
            </w:r>
          </w:p>
        </w:tc>
        <w:tc>
          <w:tcPr>
            <w:tcW w:type="dxa" w:w="2882"/>
          </w:tcPr>
          <w:p>
            <w:r/>
            <w:r>
              <w:rPr>
                <w:rFonts w:ascii="Times New Roman" w:hAnsi="Times New Roman" w:eastAsia="宋体"/>
                <w:sz w:val="20"/>
              </w:rPr>
              <w:t>软/中/硬三种典型物体</w:t>
            </w:r>
          </w:p>
        </w:tc>
      </w:tr>
      <w:tr>
        <w:tc>
          <w:tcPr>
            <w:tcW w:type="dxa" w:w="2882"/>
          </w:tcPr>
          <w:p>
            <w:r/>
            <w:r>
              <w:rPr>
                <w:rFonts w:ascii="Times New Roman" w:hAnsi="Times New Roman" w:eastAsia="宋体"/>
                <w:sz w:val="20"/>
              </w:rPr>
              <w:t>系统供电</w:t>
            </w:r>
          </w:p>
        </w:tc>
        <w:tc>
          <w:tcPr>
            <w:tcW w:type="dxa" w:w="2882"/>
          </w:tcPr>
          <w:p>
            <w:r/>
            <w:r>
              <w:rPr>
                <w:rFonts w:ascii="Times New Roman" w:hAnsi="Times New Roman" w:eastAsia="宋体"/>
                <w:sz w:val="20"/>
              </w:rPr>
              <w:t>12V/5A 单电源</w:t>
            </w:r>
          </w:p>
        </w:tc>
        <w:tc>
          <w:tcPr>
            <w:tcW w:type="dxa" w:w="2882"/>
          </w:tcPr>
          <w:p>
            <w:r/>
            <w:r>
              <w:rPr>
                <w:rFonts w:ascii="Times New Roman" w:hAnsi="Times New Roman" w:eastAsia="宋体"/>
                <w:sz w:val="20"/>
              </w:rPr>
              <w:t>简化供电设计</w:t>
            </w:r>
          </w:p>
        </w:tc>
      </w:tr>
    </w:tbl>
    <w:p>
      <w:pPr>
        <w:jc w:val="center"/>
      </w:pPr>
      <w:r>
        <w:rPr>
          <w:rFonts w:ascii="Times New Roman" w:hAnsi="Times New Roman" w:eastAsia="黑体"/>
          <w:b/>
          <w:sz w:val="20"/>
        </w:rPr>
        <w:t>表2-1  系统性能指标</w:t>
      </w:r>
    </w:p>
    <w:p/>
    <w:p>
      <w:pPr>
        <w:pStyle w:val="Heading2"/>
      </w:pPr>
      <w:r>
        <w:rPr>
          <w:rFonts w:ascii="Times New Roman" w:hAnsi="Times New Roman" w:eastAsia="黑体"/>
        </w:rPr>
        <w:t>2.2 系统架构设计</w:t>
      </w:r>
    </w:p>
    <w:p>
      <w:pPr>
        <w:ind w:firstLine="480"/>
      </w:pPr>
      <w:r>
        <w:rPr>
          <w:rFonts w:ascii="Times New Roman" w:hAnsi="Times New Roman" w:eastAsia="宋体"/>
          <w:b w:val="0"/>
          <w:sz w:val="24"/>
        </w:rPr>
        <w:t>本系统采用"边缘感知层 + 分布式控制层"的双层架构。边缘感知层由OrangePi AIpro 8T承担，负责摄像头视频采集、手势识别推理和关键点映射；分布式控制层由主控板和各手指节点组成，通过CAN总线互联，负责电机驱动和力闭环控制。整体架构遵循经典的四层分层设计，自底向上依次为硬件抽象层、驱动层、协议层和应用层，各层职责明确，层间通过标准化接口通信。</w:t>
      </w:r>
    </w:p>
    <w:p>
      <w:pPr>
        <w:ind w:firstLine="480"/>
      </w:pPr>
      <w:r>
        <w:rPr>
          <w:rFonts w:ascii="Times New Roman" w:hAnsi="Times New Roman" w:eastAsia="宋体"/>
          <w:b w:val="0"/>
          <w:sz w:val="24"/>
        </w:rPr>
        <w:t>系统的完整数据流如下：摄像头以30FPS采集640x480分辨率图像，经V4L2接口送入AIpro；AIpro对图像进行预处理（缩放、归一化）后，由Ascend NPU运行YOLOv8-pose模型推理手势关键点；关键点经映射算法转换为5根手指的目标关节角度，再经EMA轨迹平滑后通过UART发送至STM32主控板；主控板解析角度指令后，通过CAN总线以1Mbps速率下发至各手指节点；各节点运行500Hz力闭环PID控制，驱动直流电机跟踪目标角度，同时将FSR力传感器数据回传。端到端数据延迟预算约为42ms（典型值），其中NPU推理约20ms占比最大。</w:t>
      </w:r>
    </w:p>
    <w:p>
      <w:pPr>
        <w:ind w:firstLine="480"/>
      </w:pPr>
      <w:r>
        <w:rPr>
          <w:rFonts w:ascii="Times New Roman" w:hAnsi="Times New Roman" w:eastAsia="宋体"/>
          <w:b w:val="0"/>
          <w:sz w:val="24"/>
        </w:rPr>
        <w:t>在数据流的关键节点上，系统设置了多处反馈回路：FSR力传感器数据用于力闭环控制和抓取模式切换，编码器数据用于位置闭环控制，CAN心跳机制用于通信可靠性监控。这种多回路反馈设计确保了系统在视觉信息延迟或丢失时仍能维持基本的抓取功能。</w:t>
      </w:r>
    </w:p>
    <w:p>
      <w:pPr>
        <w:pStyle w:val="Heading2"/>
      </w:pPr>
      <w:r>
        <w:rPr>
          <w:rFonts w:ascii="Times New Roman" w:hAnsi="Times New Roman" w:eastAsia="黑体"/>
        </w:rPr>
        <w:t>2.3 技术选型</w:t>
      </w:r>
    </w:p>
    <w:tbl>
      <w:tblPr>
        <w:tblStyle w:val="TableGrid"/>
        <w:tblW w:type="auto" w:w="0"/>
        <w:jc w:val="center"/>
        <w:tblLook w:firstColumn="1" w:firstRow="1" w:lastColumn="0" w:lastRow="0" w:noHBand="0" w:noVBand="1" w:val="04A0"/>
      </w:tblPr>
      <w:tblGrid>
        <w:gridCol w:w="2882"/>
        <w:gridCol w:w="2882"/>
        <w:gridCol w:w="2882"/>
      </w:tblGrid>
      <w:tr>
        <w:tc>
          <w:tcPr>
            <w:tcW w:type="dxa" w:w="2882"/>
            <w:shd w:fill="1F4E79" w:val="clear"/>
          </w:tcPr>
          <w:p>
            <w:r/>
            <w:r>
              <w:rPr>
                <w:rFonts w:ascii="Times New Roman" w:hAnsi="Times New Roman" w:eastAsia="黑体"/>
                <w:b/>
                <w:color w:val="FFFFFF"/>
                <w:sz w:val="20"/>
              </w:rPr>
              <w:t>模块</w:t>
            </w:r>
          </w:p>
        </w:tc>
        <w:tc>
          <w:tcPr>
            <w:tcW w:type="dxa" w:w="2882"/>
            <w:shd w:fill="1F4E79" w:val="clear"/>
          </w:tcPr>
          <w:p>
            <w:r/>
            <w:r>
              <w:rPr>
                <w:rFonts w:ascii="Times New Roman" w:hAnsi="Times New Roman" w:eastAsia="黑体"/>
                <w:b/>
                <w:color w:val="FFFFFF"/>
                <w:sz w:val="20"/>
              </w:rPr>
              <w:t>选型</w:t>
            </w:r>
          </w:p>
        </w:tc>
        <w:tc>
          <w:tcPr>
            <w:tcW w:type="dxa" w:w="2882"/>
            <w:shd w:fill="1F4E79" w:val="clear"/>
          </w:tcPr>
          <w:p>
            <w:r/>
            <w:r>
              <w:rPr>
                <w:rFonts w:ascii="Times New Roman" w:hAnsi="Times New Roman" w:eastAsia="黑体"/>
                <w:b/>
                <w:color w:val="FFFFFF"/>
                <w:sz w:val="20"/>
              </w:rPr>
              <w:t>理由</w:t>
            </w:r>
          </w:p>
        </w:tc>
      </w:tr>
      <w:tr>
        <w:tc>
          <w:tcPr>
            <w:tcW w:type="dxa" w:w="2882"/>
          </w:tcPr>
          <w:p>
            <w:r/>
            <w:r>
              <w:rPr>
                <w:rFonts w:ascii="Times New Roman" w:hAnsi="Times New Roman" w:eastAsia="宋体"/>
                <w:sz w:val="20"/>
              </w:rPr>
              <w:t>主控MCU</w:t>
            </w:r>
          </w:p>
        </w:tc>
        <w:tc>
          <w:tcPr>
            <w:tcW w:type="dxa" w:w="2882"/>
          </w:tcPr>
          <w:p>
            <w:r/>
            <w:r>
              <w:rPr>
                <w:rFonts w:ascii="Times New Roman" w:hAnsi="Times New Roman" w:eastAsia="宋体"/>
                <w:sz w:val="20"/>
              </w:rPr>
              <w:t>STM32F407VET6</w:t>
            </w:r>
          </w:p>
        </w:tc>
        <w:tc>
          <w:tcPr>
            <w:tcW w:type="dxa" w:w="2882"/>
          </w:tcPr>
          <w:p>
            <w:r/>
            <w:r>
              <w:rPr>
                <w:rFonts w:ascii="Times New Roman" w:hAnsi="Times New Roman" w:eastAsia="宋体"/>
                <w:sz w:val="20"/>
              </w:rPr>
              <w:t>168MHz Cortex-M4，FPU，内置CAN外设，生态成熟</w:t>
            </w:r>
          </w:p>
        </w:tc>
      </w:tr>
      <w:tr>
        <w:tc>
          <w:tcPr>
            <w:tcW w:type="dxa" w:w="2882"/>
          </w:tcPr>
          <w:p>
            <w:r/>
            <w:r>
              <w:rPr>
                <w:rFonts w:ascii="Times New Roman" w:hAnsi="Times New Roman" w:eastAsia="宋体"/>
                <w:sz w:val="20"/>
              </w:rPr>
              <w:t>边缘AI板卡</w:t>
            </w:r>
          </w:p>
        </w:tc>
        <w:tc>
          <w:tcPr>
            <w:tcW w:type="dxa" w:w="2882"/>
          </w:tcPr>
          <w:p>
            <w:r/>
            <w:r>
              <w:rPr>
                <w:rFonts w:ascii="Times New Roman" w:hAnsi="Times New Roman" w:eastAsia="宋体"/>
                <w:sz w:val="20"/>
              </w:rPr>
              <w:t>OrangePi AIpro 8T</w:t>
            </w:r>
          </w:p>
        </w:tc>
        <w:tc>
          <w:tcPr>
            <w:tcW w:type="dxa" w:w="2882"/>
          </w:tcPr>
          <w:p>
            <w:r/>
            <w:r>
              <w:rPr>
                <w:rFonts w:ascii="Times New Roman" w:hAnsi="Times New Roman" w:eastAsia="宋体"/>
                <w:sz w:val="20"/>
              </w:rPr>
              <w:t>Ascend 310B NPU (8TOPS)，CANN工具链完善</w:t>
            </w:r>
          </w:p>
        </w:tc>
      </w:tr>
      <w:tr>
        <w:tc>
          <w:tcPr>
            <w:tcW w:type="dxa" w:w="2882"/>
          </w:tcPr>
          <w:p>
            <w:r/>
            <w:r>
              <w:rPr>
                <w:rFonts w:ascii="Times New Roman" w:hAnsi="Times New Roman" w:eastAsia="宋体"/>
                <w:sz w:val="20"/>
              </w:rPr>
              <w:t>手势识别模型</w:t>
            </w:r>
          </w:p>
        </w:tc>
        <w:tc>
          <w:tcPr>
            <w:tcW w:type="dxa" w:w="2882"/>
          </w:tcPr>
          <w:p>
            <w:r/>
            <w:r>
              <w:rPr>
                <w:rFonts w:ascii="Times New Roman" w:hAnsi="Times New Roman" w:eastAsia="宋体"/>
                <w:sz w:val="20"/>
              </w:rPr>
              <w:t>YOLOv8-pose-nano</w:t>
            </w:r>
          </w:p>
        </w:tc>
        <w:tc>
          <w:tcPr>
            <w:tcW w:type="dxa" w:w="2882"/>
          </w:tcPr>
          <w:p>
            <w:r/>
            <w:r>
              <w:rPr>
                <w:rFonts w:ascii="Times New Roman" w:hAnsi="Times New Roman" w:eastAsia="宋体"/>
                <w:sz w:val="20"/>
              </w:rPr>
              <w:t>轻量级关键点检测，ONNX部署友好，~6MB</w:t>
            </w:r>
          </w:p>
        </w:tc>
      </w:tr>
      <w:tr>
        <w:tc>
          <w:tcPr>
            <w:tcW w:type="dxa" w:w="2882"/>
          </w:tcPr>
          <w:p>
            <w:r/>
            <w:r>
              <w:rPr>
                <w:rFonts w:ascii="Times New Roman" w:hAnsi="Times New Roman" w:eastAsia="宋体"/>
                <w:sz w:val="20"/>
              </w:rPr>
              <w:t>通信总线</w:t>
            </w:r>
          </w:p>
        </w:tc>
        <w:tc>
          <w:tcPr>
            <w:tcW w:type="dxa" w:w="2882"/>
          </w:tcPr>
          <w:p>
            <w:r/>
            <w:r>
              <w:rPr>
                <w:rFonts w:ascii="Times New Roman" w:hAnsi="Times New Roman" w:eastAsia="宋体"/>
                <w:sz w:val="20"/>
              </w:rPr>
              <w:t>CAN 2.0B (1Mbps)</w:t>
            </w:r>
          </w:p>
        </w:tc>
        <w:tc>
          <w:tcPr>
            <w:tcW w:type="dxa" w:w="2882"/>
          </w:tcPr>
          <w:p>
            <w:r/>
            <w:r>
              <w:rPr>
                <w:rFonts w:ascii="Times New Roman" w:hAnsi="Times New Roman" w:eastAsia="宋体"/>
                <w:sz w:val="20"/>
              </w:rPr>
              <w:t>工业级可靠性，多节点拓扑，硬件CRC校验</w:t>
            </w:r>
          </w:p>
        </w:tc>
      </w:tr>
      <w:tr>
        <w:tc>
          <w:tcPr>
            <w:tcW w:type="dxa" w:w="2882"/>
          </w:tcPr>
          <w:p>
            <w:r/>
            <w:r>
              <w:rPr>
                <w:rFonts w:ascii="Times New Roman" w:hAnsi="Times New Roman" w:eastAsia="宋体"/>
                <w:sz w:val="20"/>
              </w:rPr>
              <w:t>电机</w:t>
            </w:r>
          </w:p>
        </w:tc>
        <w:tc>
          <w:tcPr>
            <w:tcW w:type="dxa" w:w="2882"/>
          </w:tcPr>
          <w:p>
            <w:r/>
            <w:r>
              <w:rPr>
                <w:rFonts w:ascii="Times New Roman" w:hAnsi="Times New Roman" w:eastAsia="宋体"/>
                <w:sz w:val="20"/>
              </w:rPr>
              <w:t>N20直流减速电机+编码器</w:t>
            </w:r>
          </w:p>
        </w:tc>
        <w:tc>
          <w:tcPr>
            <w:tcW w:type="dxa" w:w="2882"/>
          </w:tcPr>
          <w:p>
            <w:r/>
            <w:r>
              <w:rPr>
                <w:rFonts w:ascii="Times New Roman" w:hAnsi="Times New Roman" w:eastAsia="宋体"/>
                <w:sz w:val="20"/>
              </w:rPr>
              <w:t>体积小，成本低，支持闭环控制</w:t>
            </w:r>
          </w:p>
        </w:tc>
      </w:tr>
      <w:tr>
        <w:tc>
          <w:tcPr>
            <w:tcW w:type="dxa" w:w="2882"/>
          </w:tcPr>
          <w:p>
            <w:r/>
            <w:r>
              <w:rPr>
                <w:rFonts w:ascii="Times New Roman" w:hAnsi="Times New Roman" w:eastAsia="宋体"/>
                <w:sz w:val="20"/>
              </w:rPr>
              <w:t>触觉传感器</w:t>
            </w:r>
          </w:p>
        </w:tc>
        <w:tc>
          <w:tcPr>
            <w:tcW w:type="dxa" w:w="2882"/>
          </w:tcPr>
          <w:p>
            <w:r/>
            <w:r>
              <w:rPr>
                <w:rFonts w:ascii="Times New Roman" w:hAnsi="Times New Roman" w:eastAsia="宋体"/>
                <w:sz w:val="20"/>
              </w:rPr>
              <w:t>FSR402薄膜压力传感器</w:t>
            </w:r>
          </w:p>
        </w:tc>
        <w:tc>
          <w:tcPr>
            <w:tcW w:type="dxa" w:w="2882"/>
          </w:tcPr>
          <w:p>
            <w:r/>
            <w:r>
              <w:rPr>
                <w:rFonts w:ascii="Times New Roman" w:hAnsi="Times New Roman" w:eastAsia="宋体"/>
                <w:sz w:val="20"/>
              </w:rPr>
              <w:t>成本低(~5元)，易集成，响应时间&lt;1ms</w:t>
            </w:r>
          </w:p>
        </w:tc>
      </w:tr>
      <w:tr>
        <w:tc>
          <w:tcPr>
            <w:tcW w:type="dxa" w:w="2882"/>
          </w:tcPr>
          <w:p>
            <w:r/>
            <w:r>
              <w:rPr>
                <w:rFonts w:ascii="Times New Roman" w:hAnsi="Times New Roman" w:eastAsia="宋体"/>
                <w:sz w:val="20"/>
              </w:rPr>
              <w:t>驱动芯片</w:t>
            </w:r>
          </w:p>
        </w:tc>
        <w:tc>
          <w:tcPr>
            <w:tcW w:type="dxa" w:w="2882"/>
          </w:tcPr>
          <w:p>
            <w:r/>
            <w:r>
              <w:rPr>
                <w:rFonts w:ascii="Times New Roman" w:hAnsi="Times New Roman" w:eastAsia="宋体"/>
                <w:sz w:val="20"/>
              </w:rPr>
              <w:t>TB6612FNG</w:t>
            </w:r>
          </w:p>
        </w:tc>
        <w:tc>
          <w:tcPr>
            <w:tcW w:type="dxa" w:w="2882"/>
          </w:tcPr>
          <w:p>
            <w:r/>
            <w:r>
              <w:rPr>
                <w:rFonts w:ascii="Times New Roman" w:hAnsi="Times New Roman" w:eastAsia="宋体"/>
                <w:sz w:val="20"/>
              </w:rPr>
              <w:t>双H桥，支持正反转+PWM调速，内置过热保护</w:t>
            </w:r>
          </w:p>
        </w:tc>
      </w:tr>
      <w:tr>
        <w:tc>
          <w:tcPr>
            <w:tcW w:type="dxa" w:w="2882"/>
          </w:tcPr>
          <w:p>
            <w:r/>
            <w:r>
              <w:rPr>
                <w:rFonts w:ascii="Times New Roman" w:hAnsi="Times New Roman" w:eastAsia="宋体"/>
                <w:sz w:val="20"/>
              </w:rPr>
              <w:t>CAN收发器</w:t>
            </w:r>
          </w:p>
        </w:tc>
        <w:tc>
          <w:tcPr>
            <w:tcW w:type="dxa" w:w="2882"/>
          </w:tcPr>
          <w:p>
            <w:r/>
            <w:r>
              <w:rPr>
                <w:rFonts w:ascii="Times New Roman" w:hAnsi="Times New Roman" w:eastAsia="宋体"/>
                <w:sz w:val="20"/>
              </w:rPr>
              <w:t>TJA1050</w:t>
            </w:r>
          </w:p>
        </w:tc>
        <w:tc>
          <w:tcPr>
            <w:tcW w:type="dxa" w:w="2882"/>
          </w:tcPr>
          <w:p>
            <w:r/>
            <w:r>
              <w:rPr>
                <w:rFonts w:ascii="Times New Roman" w:hAnsi="Times New Roman" w:eastAsia="宋体"/>
                <w:sz w:val="20"/>
              </w:rPr>
              <w:t>1Mbps，低功耗，与STM32 CAN外设兼容</w:t>
            </w:r>
          </w:p>
        </w:tc>
      </w:tr>
      <w:tr>
        <w:tc>
          <w:tcPr>
            <w:tcW w:type="dxa" w:w="2882"/>
          </w:tcPr>
          <w:p>
            <w:r/>
            <w:r>
              <w:rPr>
                <w:rFonts w:ascii="Times New Roman" w:hAnsi="Times New Roman" w:eastAsia="宋体"/>
                <w:sz w:val="20"/>
              </w:rPr>
              <w:t>信号调理运放</w:t>
            </w:r>
          </w:p>
        </w:tc>
        <w:tc>
          <w:tcPr>
            <w:tcW w:type="dxa" w:w="2882"/>
          </w:tcPr>
          <w:p>
            <w:r/>
            <w:r>
              <w:rPr>
                <w:rFonts w:ascii="Times New Roman" w:hAnsi="Times New Roman" w:eastAsia="宋体"/>
                <w:sz w:val="20"/>
              </w:rPr>
              <w:t>OPA2376 + INA333</w:t>
            </w:r>
          </w:p>
        </w:tc>
        <w:tc>
          <w:tcPr>
            <w:tcW w:type="dxa" w:w="2882"/>
          </w:tcPr>
          <w:p>
            <w:r/>
            <w:r>
              <w:rPr>
                <w:rFonts w:ascii="Times New Roman" w:hAnsi="Times New Roman" w:eastAsia="宋体"/>
                <w:sz w:val="20"/>
              </w:rPr>
              <w:t>低噪声，高精度，适合微弱信号采集</w:t>
            </w:r>
          </w:p>
        </w:tc>
      </w:tr>
      <w:tr>
        <w:tc>
          <w:tcPr>
            <w:tcW w:type="dxa" w:w="2882"/>
          </w:tcPr>
          <w:p>
            <w:r/>
            <w:r>
              <w:rPr>
                <w:rFonts w:ascii="Times New Roman" w:hAnsi="Times New Roman" w:eastAsia="宋体"/>
                <w:sz w:val="20"/>
              </w:rPr>
              <w:t>PCB设计工具</w:t>
            </w:r>
          </w:p>
        </w:tc>
        <w:tc>
          <w:tcPr>
            <w:tcW w:type="dxa" w:w="2882"/>
          </w:tcPr>
          <w:p>
            <w:r/>
            <w:r>
              <w:rPr>
                <w:rFonts w:ascii="Times New Roman" w:hAnsi="Times New Roman" w:eastAsia="宋体"/>
                <w:sz w:val="20"/>
              </w:rPr>
              <w:t>KiCad 8.0</w:t>
            </w:r>
          </w:p>
        </w:tc>
        <w:tc>
          <w:tcPr>
            <w:tcW w:type="dxa" w:w="2882"/>
          </w:tcPr>
          <w:p>
            <w:r/>
            <w:r>
              <w:rPr>
                <w:rFonts w:ascii="Times New Roman" w:hAnsi="Times New Roman" w:eastAsia="宋体"/>
                <w:sz w:val="20"/>
              </w:rPr>
              <w:t>开源免费，功能完善，社区活跃</w:t>
            </w:r>
          </w:p>
        </w:tc>
      </w:tr>
      <w:tr>
        <w:tc>
          <w:tcPr>
            <w:tcW w:type="dxa" w:w="2882"/>
          </w:tcPr>
          <w:p>
            <w:r/>
            <w:r>
              <w:rPr>
                <w:rFonts w:ascii="Times New Roman" w:hAnsi="Times New Roman" w:eastAsia="宋体"/>
                <w:sz w:val="20"/>
              </w:rPr>
              <w:t>仿真引擎</w:t>
            </w:r>
          </w:p>
        </w:tc>
        <w:tc>
          <w:tcPr>
            <w:tcW w:type="dxa" w:w="2882"/>
          </w:tcPr>
          <w:p>
            <w:r/>
            <w:r>
              <w:rPr>
                <w:rFonts w:ascii="Times New Roman" w:hAnsi="Times New Roman" w:eastAsia="宋体"/>
                <w:sz w:val="20"/>
              </w:rPr>
              <w:t>MuJoCo 3.x</w:t>
            </w:r>
          </w:p>
        </w:tc>
        <w:tc>
          <w:tcPr>
            <w:tcW w:type="dxa" w:w="2882"/>
          </w:tcPr>
          <w:p>
            <w:r/>
            <w:r>
              <w:rPr>
                <w:rFonts w:ascii="Times New Roman" w:hAnsi="Times New Roman" w:eastAsia="宋体"/>
                <w:sz w:val="20"/>
              </w:rPr>
              <w:t>高性能物理仿真，DeepMind开源，Python接口</w:t>
            </w:r>
          </w:p>
        </w:tc>
      </w:tr>
    </w:tbl>
    <w:p>
      <w:pPr>
        <w:jc w:val="center"/>
      </w:pPr>
      <w:r>
        <w:rPr>
          <w:rFonts w:ascii="Times New Roman" w:hAnsi="Times New Roman" w:eastAsia="黑体"/>
          <w:b/>
          <w:sz w:val="20"/>
        </w:rPr>
        <w:t>表2-2  核心技术选型一览</w:t>
      </w:r>
    </w:p>
    <w:p/>
    <w:p>
      <w:pPr>
        <w:pStyle w:val="Heading2"/>
      </w:pPr>
      <w:r>
        <w:rPr>
          <w:rFonts w:ascii="Times New Roman" w:hAnsi="Times New Roman" w:eastAsia="黑体"/>
        </w:rPr>
        <w:t>2.4 方法论论证</w:t>
      </w:r>
    </w:p>
    <w:p>
      <w:pPr>
        <w:ind w:firstLine="480"/>
      </w:pPr>
      <w:r>
        <w:rPr>
          <w:rFonts w:ascii="Times New Roman" w:hAnsi="Times New Roman" w:eastAsia="宋体"/>
          <w:b w:val="0"/>
          <w:sz w:val="24"/>
        </w:rPr>
        <w:t>本节对系统设计中的关键技术选型进行论证，说明各方案的优劣比较和选择依据。</w:t>
      </w:r>
    </w:p>
    <w:p>
      <w:pPr>
        <w:pStyle w:val="Heading3"/>
      </w:pPr>
      <w:r>
        <w:rPr>
          <w:rFonts w:ascii="Times New Roman" w:hAnsi="Times New Roman" w:eastAsia="黑体"/>
        </w:rPr>
        <w:t>2.4.1 视觉+触觉双模态 vs 纯视觉/纯触觉</w:t>
      </w:r>
    </w:p>
    <w:p>
      <w:pPr>
        <w:ind w:firstLine="480"/>
      </w:pPr>
      <w:r>
        <w:rPr>
          <w:rFonts w:ascii="Times New Roman" w:hAnsi="Times New Roman" w:eastAsia="宋体"/>
          <w:b w:val="0"/>
          <w:sz w:val="24"/>
        </w:rPr>
        <w:t>灵巧手抓取控制的感知模态选择是系统设计的首要问题。纯视觉控制虽然能提供全局信息用于引导抓取，但在手指接触物体后视觉被遮挡，无法感知接触力大小，容易导致抓取力不足（滑落）或过大（物体损坏）。纯触觉控制仅在接触后才能提供信息，无法提前规划抓取姿态，需要反复试探，效率低下。</w:t>
      </w:r>
    </w:p>
    <w:p>
      <w:pPr>
        <w:ind w:firstLine="480"/>
      </w:pPr>
      <w:r>
        <w:rPr>
          <w:rFonts w:ascii="Times New Roman" w:hAnsi="Times New Roman" w:eastAsia="宋体"/>
          <w:b w:val="0"/>
          <w:sz w:val="24"/>
        </w:rPr>
        <w:t>本课题采用"视觉前馈引导+触觉反馈接管"策略，在抓取前利用视觉规划最优抓取姿态，在接触后切换为触觉力控，实现优势互补。这与人类抓取行为一致——眼睛引导手部移动，手指感知接触力并调整握力。Johansson与Flanagan的研究表明，人类抓取动作中视觉和触觉分别承担预抓取规划和抓取维持的功能[7]。Li等人的研究进一步探索了视觉与触觉的跨模态关联，其"视觉预测触觉"的思路为本课题的融合控制设计提供了启发[8]。</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shd w:fill="1F4E79" w:val="clear"/>
          </w:tcPr>
          <w:p>
            <w:r/>
            <w:r>
              <w:rPr>
                <w:rFonts w:ascii="Times New Roman" w:hAnsi="Times New Roman" w:eastAsia="黑体"/>
                <w:b/>
                <w:color w:val="FFFFFF"/>
                <w:sz w:val="20"/>
              </w:rPr>
              <w:t>对比维度</w:t>
            </w:r>
          </w:p>
        </w:tc>
        <w:tc>
          <w:tcPr>
            <w:tcW w:type="dxa" w:w="2161"/>
            <w:shd w:fill="1F4E79" w:val="clear"/>
          </w:tcPr>
          <w:p>
            <w:r/>
            <w:r>
              <w:rPr>
                <w:rFonts w:ascii="Times New Roman" w:hAnsi="Times New Roman" w:eastAsia="黑体"/>
                <w:b/>
                <w:color w:val="FFFFFF"/>
                <w:sz w:val="20"/>
              </w:rPr>
              <w:t>纯视觉控制</w:t>
            </w:r>
          </w:p>
        </w:tc>
        <w:tc>
          <w:tcPr>
            <w:tcW w:type="dxa" w:w="2161"/>
            <w:shd w:fill="1F4E79" w:val="clear"/>
          </w:tcPr>
          <w:p>
            <w:r/>
            <w:r>
              <w:rPr>
                <w:rFonts w:ascii="Times New Roman" w:hAnsi="Times New Roman" w:eastAsia="黑体"/>
                <w:b/>
                <w:color w:val="FFFFFF"/>
                <w:sz w:val="20"/>
              </w:rPr>
              <w:t>纯触觉控制</w:t>
            </w:r>
          </w:p>
        </w:tc>
        <w:tc>
          <w:tcPr>
            <w:tcW w:type="dxa" w:w="2161"/>
            <w:shd w:fill="1F4E79" w:val="clear"/>
          </w:tcPr>
          <w:p>
            <w:r/>
            <w:r>
              <w:rPr>
                <w:rFonts w:ascii="Times New Roman" w:hAnsi="Times New Roman" w:eastAsia="黑体"/>
                <w:b/>
                <w:color w:val="FFFFFF"/>
                <w:sz w:val="20"/>
              </w:rPr>
              <w:t>视觉+触觉双模态</w:t>
            </w:r>
          </w:p>
        </w:tc>
      </w:tr>
      <w:tr>
        <w:tc>
          <w:tcPr>
            <w:tcW w:type="dxa" w:w="2161"/>
          </w:tcPr>
          <w:p>
            <w:r/>
            <w:r>
              <w:rPr>
                <w:rFonts w:ascii="Times New Roman" w:hAnsi="Times New Roman" w:eastAsia="宋体"/>
                <w:sz w:val="20"/>
              </w:rPr>
              <w:t>感知范围</w:t>
            </w:r>
          </w:p>
        </w:tc>
        <w:tc>
          <w:tcPr>
            <w:tcW w:type="dxa" w:w="2161"/>
          </w:tcPr>
          <w:p>
            <w:r/>
            <w:r>
              <w:rPr>
                <w:rFonts w:ascii="Times New Roman" w:hAnsi="Times New Roman" w:eastAsia="宋体"/>
                <w:sz w:val="20"/>
              </w:rPr>
              <w:t>大（全局视野）</w:t>
            </w:r>
          </w:p>
        </w:tc>
        <w:tc>
          <w:tcPr>
            <w:tcW w:type="dxa" w:w="2161"/>
          </w:tcPr>
          <w:p>
            <w:r/>
            <w:r>
              <w:rPr>
                <w:rFonts w:ascii="Times New Roman" w:hAnsi="Times New Roman" w:eastAsia="宋体"/>
                <w:sz w:val="20"/>
              </w:rPr>
              <w:t>小（仅接触区域）</w:t>
            </w:r>
          </w:p>
        </w:tc>
        <w:tc>
          <w:tcPr>
            <w:tcW w:type="dxa" w:w="2161"/>
          </w:tcPr>
          <w:p>
            <w:r/>
            <w:r>
              <w:rPr>
                <w:rFonts w:ascii="Times New Roman" w:hAnsi="Times New Roman" w:eastAsia="宋体"/>
                <w:sz w:val="20"/>
              </w:rPr>
              <w:t>大+小（互补）</w:t>
            </w:r>
          </w:p>
        </w:tc>
      </w:tr>
      <w:tr>
        <w:tc>
          <w:tcPr>
            <w:tcW w:type="dxa" w:w="2161"/>
          </w:tcPr>
          <w:p>
            <w:r/>
            <w:r>
              <w:rPr>
                <w:rFonts w:ascii="Times New Roman" w:hAnsi="Times New Roman" w:eastAsia="宋体"/>
                <w:sz w:val="20"/>
              </w:rPr>
              <w:t>抓取引导能力</w:t>
            </w:r>
          </w:p>
        </w:tc>
        <w:tc>
          <w:tcPr>
            <w:tcW w:type="dxa" w:w="2161"/>
          </w:tcPr>
          <w:p>
            <w:r/>
            <w:r>
              <w:rPr>
                <w:rFonts w:ascii="Times New Roman" w:hAnsi="Times New Roman" w:eastAsia="宋体"/>
                <w:sz w:val="20"/>
              </w:rPr>
              <w:t>强（可预判姿态）</w:t>
            </w:r>
          </w:p>
        </w:tc>
        <w:tc>
          <w:tcPr>
            <w:tcW w:type="dxa" w:w="2161"/>
          </w:tcPr>
          <w:p>
            <w:r/>
            <w:r>
              <w:rPr>
                <w:rFonts w:ascii="Times New Roman" w:hAnsi="Times New Roman" w:eastAsia="宋体"/>
                <w:sz w:val="20"/>
              </w:rPr>
              <w:t>弱（需先接触）</w:t>
            </w:r>
          </w:p>
        </w:tc>
        <w:tc>
          <w:tcPr>
            <w:tcW w:type="dxa" w:w="2161"/>
          </w:tcPr>
          <w:p>
            <w:r/>
            <w:r>
              <w:rPr>
                <w:rFonts w:ascii="Times New Roman" w:hAnsi="Times New Roman" w:eastAsia="宋体"/>
                <w:sz w:val="20"/>
              </w:rPr>
              <w:t>强</w:t>
            </w:r>
          </w:p>
        </w:tc>
      </w:tr>
      <w:tr>
        <w:tc>
          <w:tcPr>
            <w:tcW w:type="dxa" w:w="2161"/>
          </w:tcPr>
          <w:p>
            <w:r/>
            <w:r>
              <w:rPr>
                <w:rFonts w:ascii="Times New Roman" w:hAnsi="Times New Roman" w:eastAsia="宋体"/>
                <w:sz w:val="20"/>
              </w:rPr>
              <w:t>接触力控制精度</w:t>
            </w:r>
          </w:p>
        </w:tc>
        <w:tc>
          <w:tcPr>
            <w:tcW w:type="dxa" w:w="2161"/>
          </w:tcPr>
          <w:p>
            <w:r/>
            <w:r>
              <w:rPr>
                <w:rFonts w:ascii="Times New Roman" w:hAnsi="Times New Roman" w:eastAsia="宋体"/>
                <w:sz w:val="20"/>
              </w:rPr>
              <w:t>低（无直接力感知）</w:t>
            </w:r>
          </w:p>
        </w:tc>
        <w:tc>
          <w:tcPr>
            <w:tcW w:type="dxa" w:w="2161"/>
          </w:tcPr>
          <w:p>
            <w:r/>
            <w:r>
              <w:rPr>
                <w:rFonts w:ascii="Times New Roman" w:hAnsi="Times New Roman" w:eastAsia="宋体"/>
                <w:sz w:val="20"/>
              </w:rPr>
              <w:t>高</w:t>
            </w:r>
          </w:p>
        </w:tc>
        <w:tc>
          <w:tcPr>
            <w:tcW w:type="dxa" w:w="2161"/>
          </w:tcPr>
          <w:p>
            <w:r/>
            <w:r>
              <w:rPr>
                <w:rFonts w:ascii="Times New Roman" w:hAnsi="Times New Roman" w:eastAsia="宋体"/>
                <w:sz w:val="20"/>
              </w:rPr>
              <w:t>高</w:t>
            </w:r>
          </w:p>
        </w:tc>
      </w:tr>
      <w:tr>
        <w:tc>
          <w:tcPr>
            <w:tcW w:type="dxa" w:w="2161"/>
          </w:tcPr>
          <w:p>
            <w:r/>
            <w:r>
              <w:rPr>
                <w:rFonts w:ascii="Times New Roman" w:hAnsi="Times New Roman" w:eastAsia="宋体"/>
                <w:sz w:val="20"/>
              </w:rPr>
              <w:t>对遮挡的鲁棒性</w:t>
            </w:r>
          </w:p>
        </w:tc>
        <w:tc>
          <w:tcPr>
            <w:tcW w:type="dxa" w:w="2161"/>
          </w:tcPr>
          <w:p>
            <w:r/>
            <w:r>
              <w:rPr>
                <w:rFonts w:ascii="Times New Roman" w:hAnsi="Times New Roman" w:eastAsia="宋体"/>
                <w:sz w:val="20"/>
              </w:rPr>
              <w:t>弱（遮挡则失效）</w:t>
            </w:r>
          </w:p>
        </w:tc>
        <w:tc>
          <w:tcPr>
            <w:tcW w:type="dxa" w:w="2161"/>
          </w:tcPr>
          <w:p>
            <w:r/>
            <w:r>
              <w:rPr>
                <w:rFonts w:ascii="Times New Roman" w:hAnsi="Times New Roman" w:eastAsia="宋体"/>
                <w:sz w:val="20"/>
              </w:rPr>
              <w:t>强</w:t>
            </w:r>
          </w:p>
        </w:tc>
        <w:tc>
          <w:tcPr>
            <w:tcW w:type="dxa" w:w="2161"/>
          </w:tcPr>
          <w:p>
            <w:r/>
            <w:r>
              <w:rPr>
                <w:rFonts w:ascii="Times New Roman" w:hAnsi="Times New Roman" w:eastAsia="宋体"/>
                <w:sz w:val="20"/>
              </w:rPr>
              <w:t>强</w:t>
            </w:r>
          </w:p>
        </w:tc>
      </w:tr>
      <w:tr>
        <w:tc>
          <w:tcPr>
            <w:tcW w:type="dxa" w:w="2161"/>
          </w:tcPr>
          <w:p>
            <w:r/>
            <w:r>
              <w:rPr>
                <w:rFonts w:ascii="Times New Roman" w:hAnsi="Times New Roman" w:eastAsia="宋体"/>
                <w:sz w:val="20"/>
              </w:rPr>
              <w:t>自适应抓取能力</w:t>
            </w:r>
          </w:p>
        </w:tc>
        <w:tc>
          <w:tcPr>
            <w:tcW w:type="dxa" w:w="2161"/>
          </w:tcPr>
          <w:p>
            <w:r/>
            <w:r>
              <w:rPr>
                <w:rFonts w:ascii="Times New Roman" w:hAnsi="Times New Roman" w:eastAsia="宋体"/>
                <w:sz w:val="20"/>
              </w:rPr>
              <w:t>弱</w:t>
            </w:r>
          </w:p>
        </w:tc>
        <w:tc>
          <w:tcPr>
            <w:tcW w:type="dxa" w:w="2161"/>
          </w:tcPr>
          <w:p>
            <w:r/>
            <w:r>
              <w:rPr>
                <w:rFonts w:ascii="Times New Roman" w:hAnsi="Times New Roman" w:eastAsia="宋体"/>
                <w:sz w:val="20"/>
              </w:rPr>
              <w:t>强</w:t>
            </w:r>
          </w:p>
        </w:tc>
        <w:tc>
          <w:tcPr>
            <w:tcW w:type="dxa" w:w="2161"/>
          </w:tcPr>
          <w:p>
            <w:r/>
            <w:r>
              <w:rPr>
                <w:rFonts w:ascii="Times New Roman" w:hAnsi="Times New Roman" w:eastAsia="宋体"/>
                <w:sz w:val="20"/>
              </w:rPr>
              <w:t>强</w:t>
            </w:r>
          </w:p>
        </w:tc>
      </w:tr>
      <w:tr>
        <w:tc>
          <w:tcPr>
            <w:tcW w:type="dxa" w:w="2161"/>
          </w:tcPr>
          <w:p>
            <w:r/>
            <w:r>
              <w:rPr>
                <w:rFonts w:ascii="Times New Roman" w:hAnsi="Times New Roman" w:eastAsia="宋体"/>
                <w:sz w:val="20"/>
              </w:rPr>
              <w:t>信息延迟</w:t>
            </w:r>
          </w:p>
        </w:tc>
        <w:tc>
          <w:tcPr>
            <w:tcW w:type="dxa" w:w="2161"/>
          </w:tcPr>
          <w:p>
            <w:r/>
            <w:r>
              <w:rPr>
                <w:rFonts w:ascii="Times New Roman" w:hAnsi="Times New Roman" w:eastAsia="宋体"/>
                <w:sz w:val="20"/>
              </w:rPr>
              <w:t>~30-50ms</w:t>
            </w:r>
          </w:p>
        </w:tc>
        <w:tc>
          <w:tcPr>
            <w:tcW w:type="dxa" w:w="2161"/>
          </w:tcPr>
          <w:p>
            <w:r/>
            <w:r>
              <w:rPr>
                <w:rFonts w:ascii="Times New Roman" w:hAnsi="Times New Roman" w:eastAsia="宋体"/>
                <w:sz w:val="20"/>
              </w:rPr>
              <w:t>&lt; 1ms</w:t>
            </w:r>
          </w:p>
        </w:tc>
        <w:tc>
          <w:tcPr>
            <w:tcW w:type="dxa" w:w="2161"/>
          </w:tcPr>
          <w:p>
            <w:r/>
            <w:r>
              <w:rPr>
                <w:rFonts w:ascii="Times New Roman" w:hAnsi="Times New Roman" w:eastAsia="宋体"/>
                <w:sz w:val="20"/>
              </w:rPr>
              <w:t>分阶段切换</w:t>
            </w:r>
          </w:p>
        </w:tc>
      </w:tr>
    </w:tbl>
    <w:p>
      <w:pPr>
        <w:jc w:val="center"/>
      </w:pPr>
      <w:r>
        <w:rPr>
          <w:rFonts w:ascii="Times New Roman" w:hAnsi="Times New Roman" w:eastAsia="黑体"/>
          <w:b/>
          <w:sz w:val="20"/>
        </w:rPr>
        <w:t>表2-3  感知模态方案对比</w:t>
      </w:r>
    </w:p>
    <w:p/>
    <w:p>
      <w:pPr>
        <w:pStyle w:val="Heading3"/>
      </w:pPr>
      <w:r>
        <w:rPr>
          <w:rFonts w:ascii="Times New Roman" w:hAnsi="Times New Roman" w:eastAsia="黑体"/>
        </w:rPr>
        <w:t>2.4.2 500Hz控制频率选择论证</w:t>
      </w:r>
    </w:p>
    <w:p>
      <w:pPr>
        <w:ind w:firstLine="480"/>
      </w:pPr>
      <w:r>
        <w:rPr>
          <w:rFonts w:ascii="Times New Roman" w:hAnsi="Times New Roman" w:eastAsia="宋体"/>
          <w:b w:val="0"/>
          <w:sz w:val="24"/>
        </w:rPr>
        <w:t>力闭环控制频率的选择需要在响应速度和计算负担之间取得平衡。从滑动响应需求来看，物体滑动速度通常在10-100mm/s范围，FSR传感器响应时间小于1ms，为在滑动发生后5ms内做出响应，控制频率至少需要200Hz。从MCU计算能力来看，STM32F407主频168MHz，力闭环PID计算约需5us，加上ADC采集（约10us）和CAN通信（约50us），单周期总耗时约65us。500Hz（周期2ms）下CPU负载约3.25%，而1000Hz下约6.5%。考虑到还需处理视觉指令解析、状态监控等任务，500Hz是安全的平衡点。</w:t>
      </w:r>
    </w:p>
    <w:p>
      <w:pPr>
        <w:ind w:firstLine="480"/>
      </w:pPr>
      <w:r>
        <w:rPr>
          <w:rFonts w:ascii="Times New Roman" w:hAnsi="Times New Roman" w:eastAsia="宋体"/>
          <w:b w:val="0"/>
          <w:sz w:val="24"/>
        </w:rPr>
        <w:t>从采样定理角度，FSR信号经50Hz低通滤波后，根据Nyquist定理采样频率至少需100Hz，500Hz提供了5倍过采样，确保信号完整性。此外，多数开源灵巧手项目（如LEAP Hand、Allegro Hand）的控制频率在200-500Hz范围[2]，本课题选择500Hz符合行业惯例。综合以上分析，500Hz控制频率在响应速度、MCU负载和信号采样之间取得了最佳平衡。</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shd w:fill="1F4E79" w:val="clear"/>
          </w:tcPr>
          <w:p>
            <w:r/>
            <w:r>
              <w:rPr>
                <w:rFonts w:ascii="Times New Roman" w:hAnsi="Times New Roman" w:eastAsia="黑体"/>
                <w:b/>
                <w:color w:val="FFFFFF"/>
                <w:sz w:val="20"/>
              </w:rPr>
              <w:t>控制频率</w:t>
            </w:r>
          </w:p>
        </w:tc>
        <w:tc>
          <w:tcPr>
            <w:tcW w:type="dxa" w:w="2161"/>
            <w:shd w:fill="1F4E79" w:val="clear"/>
          </w:tcPr>
          <w:p>
            <w:r/>
            <w:r>
              <w:rPr>
                <w:rFonts w:ascii="Times New Roman" w:hAnsi="Times New Roman" w:eastAsia="黑体"/>
                <w:b/>
                <w:color w:val="FFFFFF"/>
                <w:sz w:val="20"/>
              </w:rPr>
              <w:t>优势</w:t>
            </w:r>
          </w:p>
        </w:tc>
        <w:tc>
          <w:tcPr>
            <w:tcW w:type="dxa" w:w="2161"/>
            <w:shd w:fill="1F4E79" w:val="clear"/>
          </w:tcPr>
          <w:p>
            <w:r/>
            <w:r>
              <w:rPr>
                <w:rFonts w:ascii="Times New Roman" w:hAnsi="Times New Roman" w:eastAsia="黑体"/>
                <w:b/>
                <w:color w:val="FFFFFF"/>
                <w:sz w:val="20"/>
              </w:rPr>
              <w:t>劣势</w:t>
            </w:r>
          </w:p>
        </w:tc>
        <w:tc>
          <w:tcPr>
            <w:tcW w:type="dxa" w:w="2161"/>
            <w:shd w:fill="1F4E79" w:val="clear"/>
          </w:tcPr>
          <w:p>
            <w:r/>
            <w:r>
              <w:rPr>
                <w:rFonts w:ascii="Times New Roman" w:hAnsi="Times New Roman" w:eastAsia="黑体"/>
                <w:b/>
                <w:color w:val="FFFFFF"/>
                <w:sz w:val="20"/>
              </w:rPr>
              <w:t>适用场景</w:t>
            </w:r>
          </w:p>
        </w:tc>
      </w:tr>
      <w:tr>
        <w:tc>
          <w:tcPr>
            <w:tcW w:type="dxa" w:w="2161"/>
          </w:tcPr>
          <w:p>
            <w:r/>
            <w:r>
              <w:rPr>
                <w:rFonts w:ascii="Times New Roman" w:hAnsi="Times New Roman" w:eastAsia="宋体"/>
                <w:sz w:val="20"/>
              </w:rPr>
              <w:t>100 Hz</w:t>
            </w:r>
          </w:p>
        </w:tc>
        <w:tc>
          <w:tcPr>
            <w:tcW w:type="dxa" w:w="2161"/>
          </w:tcPr>
          <w:p>
            <w:r/>
            <w:r>
              <w:rPr>
                <w:rFonts w:ascii="Times New Roman" w:hAnsi="Times New Roman" w:eastAsia="宋体"/>
                <w:sz w:val="20"/>
              </w:rPr>
              <w:t>计算量低</w:t>
            </w:r>
          </w:p>
        </w:tc>
        <w:tc>
          <w:tcPr>
            <w:tcW w:type="dxa" w:w="2161"/>
          </w:tcPr>
          <w:p>
            <w:r/>
            <w:r>
              <w:rPr>
                <w:rFonts w:ascii="Times New Roman" w:hAnsi="Times New Roman" w:eastAsia="宋体"/>
                <w:sz w:val="20"/>
              </w:rPr>
              <w:t>滑动检测延迟~10ms</w:t>
            </w:r>
          </w:p>
        </w:tc>
        <w:tc>
          <w:tcPr>
            <w:tcW w:type="dxa" w:w="2161"/>
          </w:tcPr>
          <w:p>
            <w:r/>
            <w:r>
              <w:rPr>
                <w:rFonts w:ascii="Times New Roman" w:hAnsi="Times New Roman" w:eastAsia="宋体"/>
                <w:sz w:val="20"/>
              </w:rPr>
              <w:t>简单抓取</w:t>
            </w:r>
          </w:p>
        </w:tc>
      </w:tr>
      <w:tr>
        <w:tc>
          <w:tcPr>
            <w:tcW w:type="dxa" w:w="2161"/>
          </w:tcPr>
          <w:p>
            <w:r/>
            <w:r>
              <w:rPr>
                <w:rFonts w:ascii="Times New Roman" w:hAnsi="Times New Roman" w:eastAsia="宋体"/>
                <w:sz w:val="20"/>
              </w:rPr>
              <w:t>500 Hz</w:t>
            </w:r>
          </w:p>
        </w:tc>
        <w:tc>
          <w:tcPr>
            <w:tcW w:type="dxa" w:w="2161"/>
          </w:tcPr>
          <w:p>
            <w:r/>
            <w:r>
              <w:rPr>
                <w:rFonts w:ascii="Times New Roman" w:hAnsi="Times New Roman" w:eastAsia="宋体"/>
                <w:sz w:val="20"/>
              </w:rPr>
              <w:t>平衡响应速度与计算负担</w:t>
            </w:r>
          </w:p>
        </w:tc>
        <w:tc>
          <w:tcPr>
            <w:tcW w:type="dxa" w:w="2161"/>
          </w:tcPr>
          <w:p>
            <w:r/>
            <w:r>
              <w:rPr>
                <w:rFonts w:ascii="Times New Roman" w:hAnsi="Times New Roman" w:eastAsia="宋体"/>
                <w:sz w:val="20"/>
              </w:rPr>
              <w:t>MCU负载适中</w:t>
            </w:r>
          </w:p>
        </w:tc>
        <w:tc>
          <w:tcPr>
            <w:tcW w:type="dxa" w:w="2161"/>
          </w:tcPr>
          <w:p>
            <w:r/>
            <w:r>
              <w:rPr>
                <w:rFonts w:ascii="Times New Roman" w:hAnsi="Times New Roman" w:eastAsia="宋体"/>
                <w:sz w:val="20"/>
              </w:rPr>
              <w:t>本课题方案</w:t>
            </w:r>
          </w:p>
        </w:tc>
      </w:tr>
      <w:tr>
        <w:tc>
          <w:tcPr>
            <w:tcW w:type="dxa" w:w="2161"/>
          </w:tcPr>
          <w:p>
            <w:r/>
            <w:r>
              <w:rPr>
                <w:rFonts w:ascii="Times New Roman" w:hAnsi="Times New Roman" w:eastAsia="宋体"/>
                <w:sz w:val="20"/>
              </w:rPr>
              <w:t>1000 Hz</w:t>
            </w:r>
          </w:p>
        </w:tc>
        <w:tc>
          <w:tcPr>
            <w:tcW w:type="dxa" w:w="2161"/>
          </w:tcPr>
          <w:p>
            <w:r/>
            <w:r>
              <w:rPr>
                <w:rFonts w:ascii="Times New Roman" w:hAnsi="Times New Roman" w:eastAsia="宋体"/>
                <w:sz w:val="20"/>
              </w:rPr>
              <w:t>响应最快</w:t>
            </w:r>
          </w:p>
        </w:tc>
        <w:tc>
          <w:tcPr>
            <w:tcW w:type="dxa" w:w="2161"/>
          </w:tcPr>
          <w:p>
            <w:r/>
            <w:r>
              <w:rPr>
                <w:rFonts w:ascii="Times New Roman" w:hAnsi="Times New Roman" w:eastAsia="宋体"/>
                <w:sz w:val="20"/>
              </w:rPr>
              <w:t>MCU负载高</w:t>
            </w:r>
          </w:p>
        </w:tc>
        <w:tc>
          <w:tcPr>
            <w:tcW w:type="dxa" w:w="2161"/>
          </w:tcPr>
          <w:p>
            <w:r/>
            <w:r>
              <w:rPr>
                <w:rFonts w:ascii="Times New Roman" w:hAnsi="Times New Roman" w:eastAsia="宋体"/>
                <w:sz w:val="20"/>
              </w:rPr>
              <w:t>高精度工业</w:t>
            </w:r>
          </w:p>
        </w:tc>
      </w:tr>
    </w:tbl>
    <w:p>
      <w:pPr>
        <w:jc w:val="center"/>
      </w:pPr>
      <w:r>
        <w:rPr>
          <w:rFonts w:ascii="Times New Roman" w:hAnsi="Times New Roman" w:eastAsia="黑体"/>
          <w:b/>
          <w:sz w:val="20"/>
        </w:rPr>
        <w:t>表2-4  控制频率方案对比</w:t>
      </w:r>
    </w:p>
    <w:p/>
    <w:p>
      <w:pPr>
        <w:pStyle w:val="Heading3"/>
      </w:pPr>
      <w:r>
        <w:rPr>
          <w:rFonts w:ascii="Times New Roman" w:hAnsi="Times New Roman" w:eastAsia="黑体"/>
        </w:rPr>
        <w:t>2.4.3 CAN vs EtherCAT vs RS485 对比</w:t>
      </w:r>
    </w:p>
    <w:p>
      <w:pPr>
        <w:ind w:firstLine="480"/>
      </w:pPr>
      <w:r>
        <w:rPr>
          <w:rFonts w:ascii="Times New Roman" w:hAnsi="Times New Roman" w:eastAsia="宋体"/>
          <w:b w:val="0"/>
          <w:sz w:val="24"/>
        </w:rPr>
        <w:t>灵巧手多节点通信总线的选择直接影响系统的可靠性、实时性和成本。EtherCAT虽然性能最优（100Mbps，分布式时钟），但需要专用从站芯片（如LAN9252），硬件成本高（每个手指节点增加约50元），且开发复杂度远超毕业设计范围。对于5节点、1Mbps速率需求的灵巧手场景，EtherCAT属于过度设计。</w:t>
      </w:r>
    </w:p>
    <w:p>
      <w:pPr>
        <w:ind w:firstLine="480"/>
      </w:pPr>
      <w:r>
        <w:rPr>
          <w:rFonts w:ascii="Times New Roman" w:hAnsi="Times New Roman" w:eastAsia="宋体"/>
          <w:b w:val="0"/>
          <w:sz w:val="24"/>
        </w:rPr>
        <w:t>RS485虽然成本最低（约3元/节点），但缺乏硬件级错误检测机制，需在应用层实现CRC和重传，增加软件复杂度。且典型速率仅115.2kbps，无法满足500Hz力控数据的实时传输需求。CAN总线则兼具工业级可靠性和合理成本：STM32F407内置CAN控制器，仅需外接TJA1050收发器（约5元），具备CRC校验、自动重传和优先级仲裁机制。CAN总线在汽车电子领域已使用30年，可靠性经过充分验证。综合成本、可靠性和开发复杂度，CAN总线是本场景的最优选择。</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shd w:fill="1F4E79" w:val="clear"/>
          </w:tcPr>
          <w:p>
            <w:r/>
            <w:r>
              <w:rPr>
                <w:rFonts w:ascii="Times New Roman" w:hAnsi="Times New Roman" w:eastAsia="黑体"/>
                <w:b/>
                <w:color w:val="FFFFFF"/>
                <w:sz w:val="20"/>
              </w:rPr>
              <w:t>对比维度</w:t>
            </w:r>
          </w:p>
        </w:tc>
        <w:tc>
          <w:tcPr>
            <w:tcW w:type="dxa" w:w="2161"/>
            <w:shd w:fill="1F4E79" w:val="clear"/>
          </w:tcPr>
          <w:p>
            <w:r/>
            <w:r>
              <w:rPr>
                <w:rFonts w:ascii="Times New Roman" w:hAnsi="Times New Roman" w:eastAsia="黑体"/>
                <w:b/>
                <w:color w:val="FFFFFF"/>
                <w:sz w:val="20"/>
              </w:rPr>
              <w:t>CAN总线</w:t>
            </w:r>
          </w:p>
        </w:tc>
        <w:tc>
          <w:tcPr>
            <w:tcW w:type="dxa" w:w="2161"/>
            <w:shd w:fill="1F4E79" w:val="clear"/>
          </w:tcPr>
          <w:p>
            <w:r/>
            <w:r>
              <w:rPr>
                <w:rFonts w:ascii="Times New Roman" w:hAnsi="Times New Roman" w:eastAsia="黑体"/>
                <w:b/>
                <w:color w:val="FFFFFF"/>
                <w:sz w:val="20"/>
              </w:rPr>
              <w:t>EtherCAT</w:t>
            </w:r>
          </w:p>
        </w:tc>
        <w:tc>
          <w:tcPr>
            <w:tcW w:type="dxa" w:w="2161"/>
            <w:shd w:fill="1F4E79" w:val="clear"/>
          </w:tcPr>
          <w:p>
            <w:r/>
            <w:r>
              <w:rPr>
                <w:rFonts w:ascii="Times New Roman" w:hAnsi="Times New Roman" w:eastAsia="黑体"/>
                <w:b/>
                <w:color w:val="FFFFFF"/>
                <w:sz w:val="20"/>
              </w:rPr>
              <w:t>RS485</w:t>
            </w:r>
          </w:p>
        </w:tc>
      </w:tr>
      <w:tr>
        <w:tc>
          <w:tcPr>
            <w:tcW w:type="dxa" w:w="2161"/>
          </w:tcPr>
          <w:p>
            <w:r/>
            <w:r>
              <w:rPr>
                <w:rFonts w:ascii="Times New Roman" w:hAnsi="Times New Roman" w:eastAsia="宋体"/>
                <w:sz w:val="20"/>
              </w:rPr>
              <w:t>最大速率</w:t>
            </w:r>
          </w:p>
        </w:tc>
        <w:tc>
          <w:tcPr>
            <w:tcW w:type="dxa" w:w="2161"/>
          </w:tcPr>
          <w:p>
            <w:r/>
            <w:r>
              <w:rPr>
                <w:rFonts w:ascii="Times New Roman" w:hAnsi="Times New Roman" w:eastAsia="宋体"/>
                <w:sz w:val="20"/>
              </w:rPr>
              <w:t>1Mbps</w:t>
            </w:r>
          </w:p>
        </w:tc>
        <w:tc>
          <w:tcPr>
            <w:tcW w:type="dxa" w:w="2161"/>
          </w:tcPr>
          <w:p>
            <w:r/>
            <w:r>
              <w:rPr>
                <w:rFonts w:ascii="Times New Roman" w:hAnsi="Times New Roman" w:eastAsia="宋体"/>
                <w:sz w:val="20"/>
              </w:rPr>
              <w:t>100Mbps</w:t>
            </w:r>
          </w:p>
        </w:tc>
        <w:tc>
          <w:tcPr>
            <w:tcW w:type="dxa" w:w="2161"/>
          </w:tcPr>
          <w:p>
            <w:r/>
            <w:r>
              <w:rPr>
                <w:rFonts w:ascii="Times New Roman" w:hAnsi="Times New Roman" w:eastAsia="宋体"/>
                <w:sz w:val="20"/>
              </w:rPr>
              <w:t>115.2kbps</w:t>
            </w:r>
          </w:p>
        </w:tc>
      </w:tr>
      <w:tr>
        <w:tc>
          <w:tcPr>
            <w:tcW w:type="dxa" w:w="2161"/>
          </w:tcPr>
          <w:p>
            <w:r/>
            <w:r>
              <w:rPr>
                <w:rFonts w:ascii="Times New Roman" w:hAnsi="Times New Roman" w:eastAsia="宋体"/>
                <w:sz w:val="20"/>
              </w:rPr>
              <w:t>线束数量</w:t>
            </w:r>
          </w:p>
        </w:tc>
        <w:tc>
          <w:tcPr>
            <w:tcW w:type="dxa" w:w="2161"/>
          </w:tcPr>
          <w:p>
            <w:r/>
            <w:r>
              <w:rPr>
                <w:rFonts w:ascii="Times New Roman" w:hAnsi="Times New Roman" w:eastAsia="宋体"/>
                <w:sz w:val="20"/>
              </w:rPr>
              <w:t>2 (差分)</w:t>
            </w:r>
          </w:p>
        </w:tc>
        <w:tc>
          <w:tcPr>
            <w:tcW w:type="dxa" w:w="2161"/>
          </w:tcPr>
          <w:p>
            <w:r/>
            <w:r>
              <w:rPr>
                <w:rFonts w:ascii="Times New Roman" w:hAnsi="Times New Roman" w:eastAsia="宋体"/>
                <w:sz w:val="20"/>
              </w:rPr>
              <w:t>4 (两对差分)</w:t>
            </w:r>
          </w:p>
        </w:tc>
        <w:tc>
          <w:tcPr>
            <w:tcW w:type="dxa" w:w="2161"/>
          </w:tcPr>
          <w:p>
            <w:r/>
            <w:r>
              <w:rPr>
                <w:rFonts w:ascii="Times New Roman" w:hAnsi="Times New Roman" w:eastAsia="宋体"/>
                <w:sz w:val="20"/>
              </w:rPr>
              <w:t>2 (差分)</w:t>
            </w:r>
          </w:p>
        </w:tc>
      </w:tr>
      <w:tr>
        <w:tc>
          <w:tcPr>
            <w:tcW w:type="dxa" w:w="2161"/>
          </w:tcPr>
          <w:p>
            <w:r/>
            <w:r>
              <w:rPr>
                <w:rFonts w:ascii="Times New Roman" w:hAnsi="Times New Roman" w:eastAsia="宋体"/>
                <w:sz w:val="20"/>
              </w:rPr>
              <w:t>MCU原生支持</w:t>
            </w:r>
          </w:p>
        </w:tc>
        <w:tc>
          <w:tcPr>
            <w:tcW w:type="dxa" w:w="2161"/>
          </w:tcPr>
          <w:p>
            <w:r/>
            <w:r>
              <w:rPr>
                <w:rFonts w:ascii="Times New Roman" w:hAnsi="Times New Roman" w:eastAsia="宋体"/>
                <w:sz w:val="20"/>
              </w:rPr>
              <w:t>STM32全系列</w:t>
            </w:r>
          </w:p>
        </w:tc>
        <w:tc>
          <w:tcPr>
            <w:tcW w:type="dxa" w:w="2161"/>
          </w:tcPr>
          <w:p>
            <w:r/>
            <w:r>
              <w:rPr>
                <w:rFonts w:ascii="Times New Roman" w:hAnsi="Times New Roman" w:eastAsia="宋体"/>
                <w:sz w:val="20"/>
              </w:rPr>
              <w:t>需专用从站芯片</w:t>
            </w:r>
          </w:p>
        </w:tc>
        <w:tc>
          <w:tcPr>
            <w:tcW w:type="dxa" w:w="2161"/>
          </w:tcPr>
          <w:p>
            <w:r/>
            <w:r>
              <w:rPr>
                <w:rFonts w:ascii="Times New Roman" w:hAnsi="Times New Roman" w:eastAsia="宋体"/>
                <w:sz w:val="20"/>
              </w:rPr>
              <w:t>STM32全系列</w:t>
            </w:r>
          </w:p>
        </w:tc>
      </w:tr>
      <w:tr>
        <w:tc>
          <w:tcPr>
            <w:tcW w:type="dxa" w:w="2161"/>
          </w:tcPr>
          <w:p>
            <w:r/>
            <w:r>
              <w:rPr>
                <w:rFonts w:ascii="Times New Roman" w:hAnsi="Times New Roman" w:eastAsia="宋体"/>
                <w:sz w:val="20"/>
              </w:rPr>
              <w:t>硬件成本/节点</w:t>
            </w:r>
          </w:p>
        </w:tc>
        <w:tc>
          <w:tcPr>
            <w:tcW w:type="dxa" w:w="2161"/>
          </w:tcPr>
          <w:p>
            <w:r/>
            <w:r>
              <w:rPr>
                <w:rFonts w:ascii="Times New Roman" w:hAnsi="Times New Roman" w:eastAsia="宋体"/>
                <w:sz w:val="20"/>
              </w:rPr>
              <w:t>~5元</w:t>
            </w:r>
          </w:p>
        </w:tc>
        <w:tc>
          <w:tcPr>
            <w:tcW w:type="dxa" w:w="2161"/>
          </w:tcPr>
          <w:p>
            <w:r/>
            <w:r>
              <w:rPr>
                <w:rFonts w:ascii="Times New Roman" w:hAnsi="Times New Roman" w:eastAsia="宋体"/>
                <w:sz w:val="20"/>
              </w:rPr>
              <w:t>~50元</w:t>
            </w:r>
          </w:p>
        </w:tc>
        <w:tc>
          <w:tcPr>
            <w:tcW w:type="dxa" w:w="2161"/>
          </w:tcPr>
          <w:p>
            <w:r/>
            <w:r>
              <w:rPr>
                <w:rFonts w:ascii="Times New Roman" w:hAnsi="Times New Roman" w:eastAsia="宋体"/>
                <w:sz w:val="20"/>
              </w:rPr>
              <w:t>~3元</w:t>
            </w:r>
          </w:p>
        </w:tc>
      </w:tr>
      <w:tr>
        <w:tc>
          <w:tcPr>
            <w:tcW w:type="dxa" w:w="2161"/>
          </w:tcPr>
          <w:p>
            <w:r/>
            <w:r>
              <w:rPr>
                <w:rFonts w:ascii="Times New Roman" w:hAnsi="Times New Roman" w:eastAsia="宋体"/>
                <w:sz w:val="20"/>
              </w:rPr>
              <w:t>错误检测</w:t>
            </w:r>
          </w:p>
        </w:tc>
        <w:tc>
          <w:tcPr>
            <w:tcW w:type="dxa" w:w="2161"/>
          </w:tcPr>
          <w:p>
            <w:r/>
            <w:r>
              <w:rPr>
                <w:rFonts w:ascii="Times New Roman" w:hAnsi="Times New Roman" w:eastAsia="宋体"/>
                <w:sz w:val="20"/>
              </w:rPr>
              <w:t>CRC+自动重传</w:t>
            </w:r>
          </w:p>
        </w:tc>
        <w:tc>
          <w:tcPr>
            <w:tcW w:type="dxa" w:w="2161"/>
          </w:tcPr>
          <w:p>
            <w:r/>
            <w:r>
              <w:rPr>
                <w:rFonts w:ascii="Times New Roman" w:hAnsi="Times New Roman" w:eastAsia="宋体"/>
                <w:sz w:val="20"/>
              </w:rPr>
              <w:t>CRC</w:t>
            </w:r>
          </w:p>
        </w:tc>
        <w:tc>
          <w:tcPr>
            <w:tcW w:type="dxa" w:w="2161"/>
          </w:tcPr>
          <w:p>
            <w:r/>
            <w:r>
              <w:rPr>
                <w:rFonts w:ascii="Times New Roman" w:hAnsi="Times New Roman" w:eastAsia="宋体"/>
                <w:sz w:val="20"/>
              </w:rPr>
              <w:t>无</w:t>
            </w:r>
          </w:p>
        </w:tc>
      </w:tr>
      <w:tr>
        <w:tc>
          <w:tcPr>
            <w:tcW w:type="dxa" w:w="2161"/>
          </w:tcPr>
          <w:p>
            <w:r/>
            <w:r>
              <w:rPr>
                <w:rFonts w:ascii="Times New Roman" w:hAnsi="Times New Roman" w:eastAsia="宋体"/>
                <w:sz w:val="20"/>
              </w:rPr>
              <w:t>实时性</w:t>
            </w:r>
          </w:p>
        </w:tc>
        <w:tc>
          <w:tcPr>
            <w:tcW w:type="dxa" w:w="2161"/>
          </w:tcPr>
          <w:p>
            <w:r/>
            <w:r>
              <w:rPr>
                <w:rFonts w:ascii="Times New Roman" w:hAnsi="Times New Roman" w:eastAsia="宋体"/>
                <w:sz w:val="20"/>
              </w:rPr>
              <w:t>高(优先级仲裁)</w:t>
            </w:r>
          </w:p>
        </w:tc>
        <w:tc>
          <w:tcPr>
            <w:tcW w:type="dxa" w:w="2161"/>
          </w:tcPr>
          <w:p>
            <w:r/>
            <w:r>
              <w:rPr>
                <w:rFonts w:ascii="Times New Roman" w:hAnsi="Times New Roman" w:eastAsia="宋体"/>
                <w:sz w:val="20"/>
              </w:rPr>
              <w:t>极高(分布式时钟)</w:t>
            </w:r>
          </w:p>
        </w:tc>
        <w:tc>
          <w:tcPr>
            <w:tcW w:type="dxa" w:w="2161"/>
          </w:tcPr>
          <w:p>
            <w:r/>
            <w:r>
              <w:rPr>
                <w:rFonts w:ascii="Times New Roman" w:hAnsi="Times New Roman" w:eastAsia="宋体"/>
                <w:sz w:val="20"/>
              </w:rPr>
              <w:t>低(主从轮询)</w:t>
            </w:r>
          </w:p>
        </w:tc>
      </w:tr>
    </w:tbl>
    <w:p>
      <w:pPr>
        <w:jc w:val="center"/>
      </w:pPr>
      <w:r>
        <w:rPr>
          <w:rFonts w:ascii="Times New Roman" w:hAnsi="Times New Roman" w:eastAsia="黑体"/>
          <w:b/>
          <w:sz w:val="20"/>
        </w:rPr>
        <w:t>表2-5  通信总线方案对比</w:t>
      </w:r>
    </w:p>
    <w:p/>
    <w:p>
      <w:pPr>
        <w:pStyle w:val="Heading3"/>
      </w:pPr>
      <w:r>
        <w:rPr>
          <w:rFonts w:ascii="Times New Roman" w:hAnsi="Times New Roman" w:eastAsia="黑体"/>
        </w:rPr>
        <w:t>2.4.4 FSR vs 其他触觉传感器对比</w:t>
      </w:r>
    </w:p>
    <w:p>
      <w:pPr>
        <w:ind w:firstLine="480"/>
      </w:pPr>
      <w:r>
        <w:rPr>
          <w:rFonts w:ascii="Times New Roman" w:hAnsi="Times New Roman" w:eastAsia="宋体"/>
          <w:b w:val="0"/>
          <w:sz w:val="24"/>
        </w:rPr>
        <w:t>灵巧手触觉传感器的选择需要综合考虑成本、集成难度、响应速度和测量范围。压电薄膜（PVDF）虽然响应速度极快（约0.01ms），但输出为电荷信号，需要复杂的电荷放大电路，增加了系统复杂度，单元成本约20元。柔性电容式传感器精度高且可拉伸，但制造工艺复杂，不适合DIY场景，5指集成总成本约500元。MEMS力传感器精度极高但不可弯曲，单元成本约200元。</w:t>
      </w:r>
    </w:p>
    <w:p>
      <w:pPr>
        <w:ind w:firstLine="480"/>
      </w:pPr>
      <w:r>
        <w:rPr>
          <w:rFonts w:ascii="Times New Roman" w:hAnsi="Times New Roman" w:eastAsia="宋体"/>
          <w:b w:val="0"/>
          <w:sz w:val="24"/>
        </w:rPr>
        <w:t>FSR（力敏电阻）单元成本仅约5元，5根手指集成总成本约25元，远低于其他方案。FSR为两线制模拟输出，仅需简单的分压电路即可接入MCU的ADC。虽然线性度较差，但通过多项式标定（拟合力-电压曲线）可有效补偿。FSR响应时间约1ms，对于500Hz控制频率（周期2ms）完全足够。此外，FSR已被广泛应用于灵巧手研究中，如MIT的Soft Hand、Stanford的DEXNET项目均采用FSR进行触觉感知，验证了其在灵巧手场景下的实用性。综合成本、集成难度和实用性，FSR是本课题场景下的最优选择。</w:t>
      </w:r>
    </w:p>
    <w:tbl>
      <w:tblPr>
        <w:tblStyle w:val="TableGrid"/>
        <w:tblW w:type="auto" w:w="0"/>
        <w:jc w:val="center"/>
        <w:tblLook w:firstColumn="1" w:firstRow="1" w:lastColumn="0" w:lastRow="0" w:noHBand="0" w:noVBand="1" w:val="04A0"/>
      </w:tblPr>
      <w:tblGrid>
        <w:gridCol w:w="1729"/>
        <w:gridCol w:w="1729"/>
        <w:gridCol w:w="1729"/>
        <w:gridCol w:w="1729"/>
        <w:gridCol w:w="1729"/>
      </w:tblGrid>
      <w:tr>
        <w:tc>
          <w:tcPr>
            <w:tcW w:type="dxa" w:w="1729"/>
            <w:shd w:fill="1F4E79" w:val="clear"/>
          </w:tcPr>
          <w:p>
            <w:r/>
            <w:r>
              <w:rPr>
                <w:rFonts w:ascii="Times New Roman" w:hAnsi="Times New Roman" w:eastAsia="黑体"/>
                <w:b/>
                <w:color w:val="FFFFFF"/>
                <w:sz w:val="20"/>
              </w:rPr>
              <w:t>对比维度</w:t>
            </w:r>
          </w:p>
        </w:tc>
        <w:tc>
          <w:tcPr>
            <w:tcW w:type="dxa" w:w="1729"/>
            <w:shd w:fill="1F4E79" w:val="clear"/>
          </w:tcPr>
          <w:p>
            <w:r/>
            <w:r>
              <w:rPr>
                <w:rFonts w:ascii="Times New Roman" w:hAnsi="Times New Roman" w:eastAsia="黑体"/>
                <w:b/>
                <w:color w:val="FFFFFF"/>
                <w:sz w:val="20"/>
              </w:rPr>
              <w:t>FSR</w:t>
            </w:r>
          </w:p>
        </w:tc>
        <w:tc>
          <w:tcPr>
            <w:tcW w:type="dxa" w:w="1729"/>
            <w:shd w:fill="1F4E79" w:val="clear"/>
          </w:tcPr>
          <w:p>
            <w:r/>
            <w:r>
              <w:rPr>
                <w:rFonts w:ascii="Times New Roman" w:hAnsi="Times New Roman" w:eastAsia="黑体"/>
                <w:b/>
                <w:color w:val="FFFFFF"/>
                <w:sz w:val="20"/>
              </w:rPr>
              <w:t>压电薄膜(PVDF)</w:t>
            </w:r>
          </w:p>
        </w:tc>
        <w:tc>
          <w:tcPr>
            <w:tcW w:type="dxa" w:w="1729"/>
            <w:shd w:fill="1F4E79" w:val="clear"/>
          </w:tcPr>
          <w:p>
            <w:r/>
            <w:r>
              <w:rPr>
                <w:rFonts w:ascii="Times New Roman" w:hAnsi="Times New Roman" w:eastAsia="黑体"/>
                <w:b/>
                <w:color w:val="FFFFFF"/>
                <w:sz w:val="20"/>
              </w:rPr>
              <w:t>电容式柔性</w:t>
            </w:r>
          </w:p>
        </w:tc>
        <w:tc>
          <w:tcPr>
            <w:tcW w:type="dxa" w:w="1729"/>
            <w:shd w:fill="1F4E79" w:val="clear"/>
          </w:tcPr>
          <w:p>
            <w:r/>
            <w:r>
              <w:rPr>
                <w:rFonts w:ascii="Times New Roman" w:hAnsi="Times New Roman" w:eastAsia="黑体"/>
                <w:b/>
                <w:color w:val="FFFFFF"/>
                <w:sz w:val="20"/>
              </w:rPr>
              <w:t>MEMS力传感器</w:t>
            </w:r>
          </w:p>
        </w:tc>
      </w:tr>
      <w:tr>
        <w:tc>
          <w:tcPr>
            <w:tcW w:type="dxa" w:w="1729"/>
          </w:tcPr>
          <w:p>
            <w:r/>
            <w:r>
              <w:rPr>
                <w:rFonts w:ascii="Times New Roman" w:hAnsi="Times New Roman" w:eastAsia="宋体"/>
                <w:sz w:val="20"/>
              </w:rPr>
              <w:t>单元成本</w:t>
            </w:r>
          </w:p>
        </w:tc>
        <w:tc>
          <w:tcPr>
            <w:tcW w:type="dxa" w:w="1729"/>
          </w:tcPr>
          <w:p>
            <w:r/>
            <w:r>
              <w:rPr>
                <w:rFonts w:ascii="Times New Roman" w:hAnsi="Times New Roman" w:eastAsia="宋体"/>
                <w:sz w:val="20"/>
              </w:rPr>
              <w:t>~5元</w:t>
            </w:r>
          </w:p>
        </w:tc>
        <w:tc>
          <w:tcPr>
            <w:tcW w:type="dxa" w:w="1729"/>
          </w:tcPr>
          <w:p>
            <w:r/>
            <w:r>
              <w:rPr>
                <w:rFonts w:ascii="Times New Roman" w:hAnsi="Times New Roman" w:eastAsia="宋体"/>
                <w:sz w:val="20"/>
              </w:rPr>
              <w:t>~20元</w:t>
            </w:r>
          </w:p>
        </w:tc>
        <w:tc>
          <w:tcPr>
            <w:tcW w:type="dxa" w:w="1729"/>
          </w:tcPr>
          <w:p>
            <w:r/>
            <w:r>
              <w:rPr>
                <w:rFonts w:ascii="Times New Roman" w:hAnsi="Times New Roman" w:eastAsia="宋体"/>
                <w:sz w:val="20"/>
              </w:rPr>
              <w:t>~100元</w:t>
            </w:r>
          </w:p>
        </w:tc>
        <w:tc>
          <w:tcPr>
            <w:tcW w:type="dxa" w:w="1729"/>
          </w:tcPr>
          <w:p>
            <w:r/>
            <w:r>
              <w:rPr>
                <w:rFonts w:ascii="Times New Roman" w:hAnsi="Times New Roman" w:eastAsia="宋体"/>
                <w:sz w:val="20"/>
              </w:rPr>
              <w:t>~200元</w:t>
            </w:r>
          </w:p>
        </w:tc>
      </w:tr>
      <w:tr>
        <w:tc>
          <w:tcPr>
            <w:tcW w:type="dxa" w:w="1729"/>
          </w:tcPr>
          <w:p>
            <w:r/>
            <w:r>
              <w:rPr>
                <w:rFonts w:ascii="Times New Roman" w:hAnsi="Times New Roman" w:eastAsia="宋体"/>
                <w:sz w:val="20"/>
              </w:rPr>
              <w:t>集成难度</w:t>
            </w:r>
          </w:p>
        </w:tc>
        <w:tc>
          <w:tcPr>
            <w:tcW w:type="dxa" w:w="1729"/>
          </w:tcPr>
          <w:p>
            <w:r/>
            <w:r>
              <w:rPr>
                <w:rFonts w:ascii="Times New Roman" w:hAnsi="Times New Roman" w:eastAsia="宋体"/>
                <w:sz w:val="20"/>
              </w:rPr>
              <w:t>低(两线制)</w:t>
            </w:r>
          </w:p>
        </w:tc>
        <w:tc>
          <w:tcPr>
            <w:tcW w:type="dxa" w:w="1729"/>
          </w:tcPr>
          <w:p>
            <w:r/>
            <w:r>
              <w:rPr>
                <w:rFonts w:ascii="Times New Roman" w:hAnsi="Times New Roman" w:eastAsia="宋体"/>
                <w:sz w:val="20"/>
              </w:rPr>
              <w:t>中(需电荷放大)</w:t>
            </w:r>
          </w:p>
        </w:tc>
        <w:tc>
          <w:tcPr>
            <w:tcW w:type="dxa" w:w="1729"/>
          </w:tcPr>
          <w:p>
            <w:r/>
            <w:r>
              <w:rPr>
                <w:rFonts w:ascii="Times New Roman" w:hAnsi="Times New Roman" w:eastAsia="宋体"/>
                <w:sz w:val="20"/>
              </w:rPr>
              <w:t>高(柔性电路)</w:t>
            </w:r>
          </w:p>
        </w:tc>
        <w:tc>
          <w:tcPr>
            <w:tcW w:type="dxa" w:w="1729"/>
          </w:tcPr>
          <w:p>
            <w:r/>
            <w:r>
              <w:rPr>
                <w:rFonts w:ascii="Times New Roman" w:hAnsi="Times New Roman" w:eastAsia="宋体"/>
                <w:sz w:val="20"/>
              </w:rPr>
              <w:t>高</w:t>
            </w:r>
          </w:p>
        </w:tc>
      </w:tr>
      <w:tr>
        <w:tc>
          <w:tcPr>
            <w:tcW w:type="dxa" w:w="1729"/>
          </w:tcPr>
          <w:p>
            <w:r/>
            <w:r>
              <w:rPr>
                <w:rFonts w:ascii="Times New Roman" w:hAnsi="Times New Roman" w:eastAsia="宋体"/>
                <w:sz w:val="20"/>
              </w:rPr>
              <w:t>响应速度</w:t>
            </w:r>
          </w:p>
        </w:tc>
        <w:tc>
          <w:tcPr>
            <w:tcW w:type="dxa" w:w="1729"/>
          </w:tcPr>
          <w:p>
            <w:r/>
            <w:r>
              <w:rPr>
                <w:rFonts w:ascii="Times New Roman" w:hAnsi="Times New Roman" w:eastAsia="宋体"/>
                <w:sz w:val="20"/>
              </w:rPr>
              <w:t>~1ms</w:t>
            </w:r>
          </w:p>
        </w:tc>
        <w:tc>
          <w:tcPr>
            <w:tcW w:type="dxa" w:w="1729"/>
          </w:tcPr>
          <w:p>
            <w:r/>
            <w:r>
              <w:rPr>
                <w:rFonts w:ascii="Times New Roman" w:hAnsi="Times New Roman" w:eastAsia="宋体"/>
                <w:sz w:val="20"/>
              </w:rPr>
              <w:t>~0.01ms</w:t>
            </w:r>
          </w:p>
        </w:tc>
        <w:tc>
          <w:tcPr>
            <w:tcW w:type="dxa" w:w="1729"/>
          </w:tcPr>
          <w:p>
            <w:r/>
            <w:r>
              <w:rPr>
                <w:rFonts w:ascii="Times New Roman" w:hAnsi="Times New Roman" w:eastAsia="宋体"/>
                <w:sz w:val="20"/>
              </w:rPr>
              <w:t>~5ms</w:t>
            </w:r>
          </w:p>
        </w:tc>
        <w:tc>
          <w:tcPr>
            <w:tcW w:type="dxa" w:w="1729"/>
          </w:tcPr>
          <w:p>
            <w:r/>
            <w:r>
              <w:rPr>
                <w:rFonts w:ascii="Times New Roman" w:hAnsi="Times New Roman" w:eastAsia="宋体"/>
                <w:sz w:val="20"/>
              </w:rPr>
              <w:t>~0.1ms</w:t>
            </w:r>
          </w:p>
        </w:tc>
      </w:tr>
      <w:tr>
        <w:tc>
          <w:tcPr>
            <w:tcW w:type="dxa" w:w="1729"/>
          </w:tcPr>
          <w:p>
            <w:r/>
            <w:r>
              <w:rPr>
                <w:rFonts w:ascii="Times New Roman" w:hAnsi="Times New Roman" w:eastAsia="宋体"/>
                <w:sz w:val="20"/>
              </w:rPr>
              <w:t>线性度</w:t>
            </w:r>
          </w:p>
        </w:tc>
        <w:tc>
          <w:tcPr>
            <w:tcW w:type="dxa" w:w="1729"/>
          </w:tcPr>
          <w:p>
            <w:r/>
            <w:r>
              <w:rPr>
                <w:rFonts w:ascii="Times New Roman" w:hAnsi="Times New Roman" w:eastAsia="宋体"/>
                <w:sz w:val="20"/>
              </w:rPr>
              <w:t>较差(需标定)</w:t>
            </w:r>
          </w:p>
        </w:tc>
        <w:tc>
          <w:tcPr>
            <w:tcW w:type="dxa" w:w="1729"/>
          </w:tcPr>
          <w:p>
            <w:r/>
            <w:r>
              <w:rPr>
                <w:rFonts w:ascii="Times New Roman" w:hAnsi="Times New Roman" w:eastAsia="宋体"/>
                <w:sz w:val="20"/>
              </w:rPr>
              <w:t>好</w:t>
            </w:r>
          </w:p>
        </w:tc>
        <w:tc>
          <w:tcPr>
            <w:tcW w:type="dxa" w:w="1729"/>
          </w:tcPr>
          <w:p>
            <w:r/>
            <w:r>
              <w:rPr>
                <w:rFonts w:ascii="Times New Roman" w:hAnsi="Times New Roman" w:eastAsia="宋体"/>
                <w:sz w:val="20"/>
              </w:rPr>
              <w:t>好</w:t>
            </w:r>
          </w:p>
        </w:tc>
        <w:tc>
          <w:tcPr>
            <w:tcW w:type="dxa" w:w="1729"/>
          </w:tcPr>
          <w:p>
            <w:r/>
            <w:r>
              <w:rPr>
                <w:rFonts w:ascii="Times New Roman" w:hAnsi="Times New Roman" w:eastAsia="宋体"/>
                <w:sz w:val="20"/>
              </w:rPr>
              <w:t>极好</w:t>
            </w:r>
          </w:p>
        </w:tc>
      </w:tr>
      <w:tr>
        <w:tc>
          <w:tcPr>
            <w:tcW w:type="dxa" w:w="1729"/>
          </w:tcPr>
          <w:p>
            <w:r/>
            <w:r>
              <w:rPr>
                <w:rFonts w:ascii="Times New Roman" w:hAnsi="Times New Roman" w:eastAsia="宋体"/>
                <w:sz w:val="20"/>
              </w:rPr>
              <w:t>适合DIY</w:t>
            </w:r>
          </w:p>
        </w:tc>
        <w:tc>
          <w:tcPr>
            <w:tcW w:type="dxa" w:w="1729"/>
          </w:tcPr>
          <w:p>
            <w:r/>
            <w:r>
              <w:rPr>
                <w:rFonts w:ascii="Times New Roman" w:hAnsi="Times New Roman" w:eastAsia="宋体"/>
                <w:sz w:val="20"/>
              </w:rPr>
              <w:t>是</w:t>
            </w:r>
          </w:p>
        </w:tc>
        <w:tc>
          <w:tcPr>
            <w:tcW w:type="dxa" w:w="1729"/>
          </w:tcPr>
          <w:p>
            <w:r/>
            <w:r>
              <w:rPr>
                <w:rFonts w:ascii="Times New Roman" w:hAnsi="Times New Roman" w:eastAsia="宋体"/>
                <w:sz w:val="20"/>
              </w:rPr>
              <w:t>中等</w:t>
            </w:r>
          </w:p>
        </w:tc>
        <w:tc>
          <w:tcPr>
            <w:tcW w:type="dxa" w:w="1729"/>
          </w:tcPr>
          <w:p>
            <w:r/>
            <w:r>
              <w:rPr>
                <w:rFonts w:ascii="Times New Roman" w:hAnsi="Times New Roman" w:eastAsia="宋体"/>
                <w:sz w:val="20"/>
              </w:rPr>
              <w:t>否</w:t>
            </w:r>
          </w:p>
        </w:tc>
        <w:tc>
          <w:tcPr>
            <w:tcW w:type="dxa" w:w="1729"/>
          </w:tcPr>
          <w:p>
            <w:r/>
            <w:r>
              <w:rPr>
                <w:rFonts w:ascii="Times New Roman" w:hAnsi="Times New Roman" w:eastAsia="宋体"/>
                <w:sz w:val="20"/>
              </w:rPr>
              <w:t>否</w:t>
            </w:r>
          </w:p>
        </w:tc>
      </w:tr>
      <w:tr>
        <w:tc>
          <w:tcPr>
            <w:tcW w:type="dxa" w:w="1729"/>
          </w:tcPr>
          <w:p>
            <w:r/>
            <w:r>
              <w:rPr>
                <w:rFonts w:ascii="Times New Roman" w:hAnsi="Times New Roman" w:eastAsia="宋体"/>
                <w:sz w:val="20"/>
              </w:rPr>
              <w:t>5指总成本</w:t>
            </w:r>
          </w:p>
        </w:tc>
        <w:tc>
          <w:tcPr>
            <w:tcW w:type="dxa" w:w="1729"/>
          </w:tcPr>
          <w:p>
            <w:r/>
            <w:r>
              <w:rPr>
                <w:rFonts w:ascii="Times New Roman" w:hAnsi="Times New Roman" w:eastAsia="宋体"/>
                <w:sz w:val="20"/>
              </w:rPr>
              <w:t>~25元</w:t>
            </w:r>
          </w:p>
        </w:tc>
        <w:tc>
          <w:tcPr>
            <w:tcW w:type="dxa" w:w="1729"/>
          </w:tcPr>
          <w:p>
            <w:r/>
            <w:r>
              <w:rPr>
                <w:rFonts w:ascii="Times New Roman" w:hAnsi="Times New Roman" w:eastAsia="宋体"/>
                <w:sz w:val="20"/>
              </w:rPr>
              <w:t>~100元</w:t>
            </w:r>
          </w:p>
        </w:tc>
        <w:tc>
          <w:tcPr>
            <w:tcW w:type="dxa" w:w="1729"/>
          </w:tcPr>
          <w:p>
            <w:r/>
            <w:r>
              <w:rPr>
                <w:rFonts w:ascii="Times New Roman" w:hAnsi="Times New Roman" w:eastAsia="宋体"/>
                <w:sz w:val="20"/>
              </w:rPr>
              <w:t>~500元</w:t>
            </w:r>
          </w:p>
        </w:tc>
        <w:tc>
          <w:tcPr>
            <w:tcW w:type="dxa" w:w="1729"/>
          </w:tcPr>
          <w:p>
            <w:r/>
            <w:r>
              <w:rPr>
                <w:rFonts w:ascii="Times New Roman" w:hAnsi="Times New Roman" w:eastAsia="宋体"/>
                <w:sz w:val="20"/>
              </w:rPr>
              <w:t>~1000元</w:t>
            </w:r>
          </w:p>
        </w:tc>
      </w:tr>
    </w:tbl>
    <w:p>
      <w:pPr>
        <w:jc w:val="center"/>
      </w:pPr>
      <w:r>
        <w:rPr>
          <w:rFonts w:ascii="Times New Roman" w:hAnsi="Times New Roman" w:eastAsia="黑体"/>
          <w:b/>
          <w:sz w:val="20"/>
        </w:rPr>
        <w:t>表2-6  触觉传感器方案对比</w:t>
      </w:r>
    </w:p>
    <w:p/>
    <w:p>
      <w:r>
        <w:br w:type="page"/>
      </w:r>
    </w:p>
    <w:p>
      <w:pPr>
        <w:pStyle w:val="Heading1"/>
      </w:pPr>
      <w:r>
        <w:rPr>
          <w:rFonts w:ascii="Times New Roman" w:hAnsi="Times New Roman" w:eastAsia="黑体"/>
        </w:rPr>
        <w:t>第三章  硬件电路设计</w:t>
      </w:r>
    </w:p>
    <w:p>
      <w:pPr>
        <w:pStyle w:val="Heading2"/>
      </w:pPr>
      <w:r>
        <w:rPr>
          <w:rFonts w:ascii="Times New Roman" w:hAnsi="Times New Roman" w:eastAsia="黑体"/>
        </w:rPr>
        <w:t>3.1 主控电路设计</w:t>
      </w:r>
    </w:p>
    <w:p>
      <w:pPr>
        <w:ind w:firstLine="480"/>
      </w:pPr>
      <w:r>
        <w:rPr>
          <w:rFonts w:ascii="Times New Roman" w:hAnsi="Times New Roman" w:eastAsia="宋体"/>
          <w:b w:val="0"/>
          <w:sz w:val="24"/>
        </w:rPr>
        <w:t>主控MCU选用STM32F407VET6，基于ARM Cortex-M4内核，主频168MHz，内置FPU浮点运算单元，适合运行PID控制算法。该芯片采用LQFP-100封装，集成512KB Flash和192KB SRAM，内置2路CAN 2.0B外设、3路12-bit ADC（最多16通道）和14个定时器，能够满足本系统对CAN通信、多路ADC采集和多路PWM输出的需求。</w:t>
      </w:r>
    </w:p>
    <w:p>
      <w:pPr>
        <w:ind w:firstLine="480"/>
      </w:pPr>
      <w:r>
        <w:rPr>
          <w:rFonts w:ascii="Times New Roman" w:hAnsi="Times New Roman" w:eastAsia="宋体"/>
          <w:b w:val="0"/>
          <w:sz w:val="24"/>
        </w:rPr>
        <w:t>最小系统包括：8MHz外部高速晶振（HSE）为系统提供精确时钟源；32.768kHz低速晶振（LSE）为RTC模块提供时钟；复位电路采用RC延时确保可靠上电复位；SWD调试接口（PA13/SWDIO、PA14/SWCLK）用于程序烧录和在线调试；每对VDD/VSS引脚就近放置100nF去耦电容，总线另加10uF电解电容滤除低频纹波。BOOT0引脚通过跳线选择正常运行模式或ISP下载模式。</w:t>
      </w:r>
    </w:p>
    <w:p>
      <w:pPr>
        <w:pStyle w:val="Heading2"/>
      </w:pPr>
      <w:r>
        <w:rPr>
          <w:rFonts w:ascii="Times New Roman" w:hAnsi="Times New Roman" w:eastAsia="黑体"/>
        </w:rPr>
        <w:t>3.2 传感器信号调理电路</w:t>
      </w:r>
    </w:p>
    <w:p>
      <w:pPr>
        <w:ind w:firstLine="480"/>
      </w:pPr>
      <w:r>
        <w:rPr>
          <w:rFonts w:ascii="Times New Roman" w:hAnsi="Times New Roman" w:eastAsia="宋体"/>
          <w:b w:val="0"/>
          <w:sz w:val="24"/>
        </w:rPr>
        <w:t>FSR传感器的原始信号为微弱的电阻变化（无压力时大于1M欧姆，满量程时降至数百欧姆），需要转换为MCU可采集的0-3.3V电压信号。信号调理电路采用三级处理方案。</w:t>
      </w:r>
    </w:p>
    <w:p>
      <w:pPr>
        <w:ind w:firstLine="480"/>
      </w:pPr>
      <w:r>
        <w:rPr>
          <w:rFonts w:ascii="Times New Roman" w:hAnsi="Times New Roman" w:eastAsia="宋体"/>
          <w:b w:val="0"/>
          <w:sz w:val="24"/>
        </w:rPr>
        <w:t>第一级为恒流源激励：精密运放OPA2376搭建恒流源电路，为FSR提供稳定的1mA激励电流。采用恒流源而非分压电路的原因是，恒流源方案下输出电压与FSR电阻成线性关系，而分压方案下输出电压与电阻呈非线性关系，前者更利于后续的力值标定。</w:t>
      </w:r>
    </w:p>
    <w:p>
      <w:pPr>
        <w:ind w:firstLine="480"/>
      </w:pPr>
      <w:r>
        <w:rPr>
          <w:rFonts w:ascii="Times New Roman" w:hAnsi="Times New Roman" w:eastAsia="宋体"/>
          <w:b w:val="0"/>
          <w:sz w:val="24"/>
        </w:rPr>
        <w:t>第二级为差分放大：FSR两端电压接入仪表放大器INA333，REF引脚接1.65V偏置电压，增益设置为10倍，将信号放大至MCU可采集的范围。差分放大结构可有效抑制共模噪声。</w:t>
      </w:r>
    </w:p>
    <w:p>
      <w:pPr>
        <w:ind w:firstLine="480"/>
      </w:pPr>
      <w:r>
        <w:rPr>
          <w:rFonts w:ascii="Times New Roman" w:hAnsi="Times New Roman" w:eastAsia="宋体"/>
          <w:b w:val="0"/>
          <w:sz w:val="24"/>
        </w:rPr>
        <w:t>第三级为低通滤波：采用二阶Sallen-Key有源低通滤波器，截止频率50Hz，滤除电机PWM驱动引起的20kHz高频噪声及其谐波。最终信号接入STM32的12-bit ADC通道（PA0~PA4），通过DMA传输实现CPU零拷贝，采样率1kHz。ADC采集完成后，软件侧再进行滑动平均滤波（窗口长度8），进一步平滑信号。</w:t>
      </w:r>
    </w:p>
    <w:p>
      <w:pPr>
        <w:pStyle w:val="Heading2"/>
      </w:pPr>
      <w:r>
        <w:rPr>
          <w:rFonts w:ascii="Times New Roman" w:hAnsi="Times New Roman" w:eastAsia="黑体"/>
        </w:rPr>
        <w:t>3.3 电机驱动电路</w:t>
      </w:r>
    </w:p>
    <w:p>
      <w:pPr>
        <w:ind w:firstLine="480"/>
      </w:pPr>
      <w:r>
        <w:rPr>
          <w:rFonts w:ascii="Times New Roman" w:hAnsi="Times New Roman" w:eastAsia="宋体"/>
          <w:b w:val="0"/>
          <w:sz w:val="24"/>
        </w:rPr>
        <w:t>电机驱动模块选用TB6612FNG双H桥驱动芯片，单芯片可驱动2路直流电机，本设计使用3片TB6612FNG驱动5根手指电机。TB6612FNG支持正转、反转、制动和滑行四种工作模式，通过IN1/IN2引脚的高低电平组合切换，PWM信号控制电机转速。</w:t>
      </w:r>
    </w:p>
    <w:p>
      <w:pPr>
        <w:ind w:firstLine="480"/>
      </w:pPr>
      <w:r>
        <w:rPr>
          <w:rFonts w:ascii="Times New Roman" w:hAnsi="Times New Roman" w:eastAsia="宋体"/>
          <w:b w:val="0"/>
          <w:sz w:val="24"/>
        </w:rPr>
        <w:t>为实现数模隔离，在MCU的PWM/方向信号与TB6612FNG之间加入TLP281光耦，防止电机启动/制动时的电流尖峰通过地线回路干扰MCU逻辑。电机驱动区域与数字区域在PCB上物理隔离，电源采用星型接地拓扑，模拟地与数字地在单点汇合，避免大电流回路干扰信号完整性。</w:t>
      </w:r>
    </w:p>
    <w:p>
      <w:pPr>
        <w:ind w:firstLine="480"/>
      </w:pPr>
      <w:r>
        <w:rPr>
          <w:rFonts w:ascii="Times New Roman" w:hAnsi="Times New Roman" w:eastAsia="宋体"/>
          <w:b w:val="0"/>
          <w:sz w:val="24"/>
        </w:rPr>
        <w:t>编码器信号接入STM32定时器的编码器模式接口（TIM2/TIM3/TIM4），实现电机转速和位置的实时反馈。每路编码器采用6P 2.54mm间距排针连接，包含电机正负极、编码器A/B相和编码器供电/地共6根线。五路电机的引脚分配如下表所示。</w:t>
      </w:r>
    </w:p>
    <w:tbl>
      <w:tblPr>
        <w:tblStyle w:val="TableGrid"/>
        <w:tblW w:type="auto" w:w="0"/>
        <w:jc w:val="center"/>
        <w:tblLook w:firstColumn="1" w:firstRow="1" w:lastColumn="0" w:lastRow="0" w:noHBand="0" w:noVBand="1" w:val="04A0"/>
      </w:tblPr>
      <w:tblGrid>
        <w:gridCol w:w="1729"/>
        <w:gridCol w:w="1729"/>
        <w:gridCol w:w="1729"/>
        <w:gridCol w:w="1729"/>
        <w:gridCol w:w="1729"/>
      </w:tblGrid>
      <w:tr>
        <w:tc>
          <w:tcPr>
            <w:tcW w:type="dxa" w:w="1729"/>
            <w:shd w:fill="1F4E79" w:val="clear"/>
          </w:tcPr>
          <w:p>
            <w:r/>
            <w:r>
              <w:rPr>
                <w:rFonts w:ascii="Times New Roman" w:hAnsi="Times New Roman" w:eastAsia="黑体"/>
                <w:b/>
                <w:color w:val="FFFFFF"/>
                <w:sz w:val="20"/>
              </w:rPr>
              <w:t>手指</w:t>
            </w:r>
          </w:p>
        </w:tc>
        <w:tc>
          <w:tcPr>
            <w:tcW w:type="dxa" w:w="1729"/>
            <w:shd w:fill="1F4E79" w:val="clear"/>
          </w:tcPr>
          <w:p>
            <w:r/>
            <w:r>
              <w:rPr>
                <w:rFonts w:ascii="Times New Roman" w:hAnsi="Times New Roman" w:eastAsia="黑体"/>
                <w:b/>
                <w:color w:val="FFFFFF"/>
                <w:sz w:val="20"/>
              </w:rPr>
              <w:t>PWM引脚</w:t>
            </w:r>
          </w:p>
        </w:tc>
        <w:tc>
          <w:tcPr>
            <w:tcW w:type="dxa" w:w="1729"/>
            <w:shd w:fill="1F4E79" w:val="clear"/>
          </w:tcPr>
          <w:p>
            <w:r/>
            <w:r>
              <w:rPr>
                <w:rFonts w:ascii="Times New Roman" w:hAnsi="Times New Roman" w:eastAsia="黑体"/>
                <w:b/>
                <w:color w:val="FFFFFF"/>
                <w:sz w:val="20"/>
              </w:rPr>
              <w:t>方向引脚(IN1/IN2)</w:t>
            </w:r>
          </w:p>
        </w:tc>
        <w:tc>
          <w:tcPr>
            <w:tcW w:type="dxa" w:w="1729"/>
            <w:shd w:fill="1F4E79" w:val="clear"/>
          </w:tcPr>
          <w:p>
            <w:r/>
            <w:r>
              <w:rPr>
                <w:rFonts w:ascii="Times New Roman" w:hAnsi="Times New Roman" w:eastAsia="黑体"/>
                <w:b/>
                <w:color w:val="FFFFFF"/>
                <w:sz w:val="20"/>
              </w:rPr>
              <w:t>编码器引脚(A/B)</w:t>
            </w:r>
          </w:p>
        </w:tc>
        <w:tc>
          <w:tcPr>
            <w:tcW w:type="dxa" w:w="1729"/>
            <w:shd w:fill="1F4E79" w:val="clear"/>
          </w:tcPr>
          <w:p>
            <w:r/>
            <w:r>
              <w:rPr>
                <w:rFonts w:ascii="Times New Roman" w:hAnsi="Times New Roman" w:eastAsia="黑体"/>
                <w:b/>
                <w:color w:val="FFFFFF"/>
                <w:sz w:val="20"/>
              </w:rPr>
              <w:t>CAN节点ID</w:t>
            </w:r>
          </w:p>
        </w:tc>
      </w:tr>
      <w:tr>
        <w:tc>
          <w:tcPr>
            <w:tcW w:type="dxa" w:w="1729"/>
          </w:tcPr>
          <w:p>
            <w:r/>
            <w:r>
              <w:rPr>
                <w:rFonts w:ascii="Times New Roman" w:hAnsi="Times New Roman" w:eastAsia="宋体"/>
                <w:sz w:val="20"/>
              </w:rPr>
              <w:t>拇指</w:t>
            </w:r>
          </w:p>
        </w:tc>
        <w:tc>
          <w:tcPr>
            <w:tcW w:type="dxa" w:w="1729"/>
          </w:tcPr>
          <w:p>
            <w:r/>
            <w:r>
              <w:rPr>
                <w:rFonts w:ascii="Times New Roman" w:hAnsi="Times New Roman" w:eastAsia="宋体"/>
                <w:sz w:val="20"/>
              </w:rPr>
              <w:t>PA8 (TIM1_CH1)</w:t>
            </w:r>
          </w:p>
        </w:tc>
        <w:tc>
          <w:tcPr>
            <w:tcW w:type="dxa" w:w="1729"/>
          </w:tcPr>
          <w:p>
            <w:r/>
            <w:r>
              <w:rPr>
                <w:rFonts w:ascii="Times New Roman" w:hAnsi="Times New Roman" w:eastAsia="宋体"/>
                <w:sz w:val="20"/>
              </w:rPr>
              <w:t>PB12 / PB13</w:t>
            </w:r>
          </w:p>
        </w:tc>
        <w:tc>
          <w:tcPr>
            <w:tcW w:type="dxa" w:w="1729"/>
          </w:tcPr>
          <w:p>
            <w:r/>
            <w:r>
              <w:rPr>
                <w:rFonts w:ascii="Times New Roman" w:hAnsi="Times New Roman" w:eastAsia="宋体"/>
                <w:sz w:val="20"/>
              </w:rPr>
              <w:t>PA0 / PA1</w:t>
            </w:r>
          </w:p>
        </w:tc>
        <w:tc>
          <w:tcPr>
            <w:tcW w:type="dxa" w:w="1729"/>
          </w:tcPr>
          <w:p>
            <w:r/>
            <w:r>
              <w:rPr>
                <w:rFonts w:ascii="Times New Roman" w:hAnsi="Times New Roman" w:eastAsia="宋体"/>
                <w:sz w:val="20"/>
              </w:rPr>
              <w:t>0x01</w:t>
            </w:r>
          </w:p>
        </w:tc>
      </w:tr>
      <w:tr>
        <w:tc>
          <w:tcPr>
            <w:tcW w:type="dxa" w:w="1729"/>
          </w:tcPr>
          <w:p>
            <w:r/>
            <w:r>
              <w:rPr>
                <w:rFonts w:ascii="Times New Roman" w:hAnsi="Times New Roman" w:eastAsia="宋体"/>
                <w:sz w:val="20"/>
              </w:rPr>
              <w:t>食指</w:t>
            </w:r>
          </w:p>
        </w:tc>
        <w:tc>
          <w:tcPr>
            <w:tcW w:type="dxa" w:w="1729"/>
          </w:tcPr>
          <w:p>
            <w:r/>
            <w:r>
              <w:rPr>
                <w:rFonts w:ascii="Times New Roman" w:hAnsi="Times New Roman" w:eastAsia="宋体"/>
                <w:sz w:val="20"/>
              </w:rPr>
              <w:t>PA9 (TIM1_CH2)</w:t>
            </w:r>
          </w:p>
        </w:tc>
        <w:tc>
          <w:tcPr>
            <w:tcW w:type="dxa" w:w="1729"/>
          </w:tcPr>
          <w:p>
            <w:r/>
            <w:r>
              <w:rPr>
                <w:rFonts w:ascii="Times New Roman" w:hAnsi="Times New Roman" w:eastAsia="宋体"/>
                <w:sz w:val="20"/>
              </w:rPr>
              <w:t>PB14 / PB15</w:t>
            </w:r>
          </w:p>
        </w:tc>
        <w:tc>
          <w:tcPr>
            <w:tcW w:type="dxa" w:w="1729"/>
          </w:tcPr>
          <w:p>
            <w:r/>
            <w:r>
              <w:rPr>
                <w:rFonts w:ascii="Times New Roman" w:hAnsi="Times New Roman" w:eastAsia="宋体"/>
                <w:sz w:val="20"/>
              </w:rPr>
              <w:t>PA6 / PA7</w:t>
            </w:r>
          </w:p>
        </w:tc>
        <w:tc>
          <w:tcPr>
            <w:tcW w:type="dxa" w:w="1729"/>
          </w:tcPr>
          <w:p>
            <w:r/>
            <w:r>
              <w:rPr>
                <w:rFonts w:ascii="Times New Roman" w:hAnsi="Times New Roman" w:eastAsia="宋体"/>
                <w:sz w:val="20"/>
              </w:rPr>
              <w:t>0x02</w:t>
            </w:r>
          </w:p>
        </w:tc>
      </w:tr>
      <w:tr>
        <w:tc>
          <w:tcPr>
            <w:tcW w:type="dxa" w:w="1729"/>
          </w:tcPr>
          <w:p>
            <w:r/>
            <w:r>
              <w:rPr>
                <w:rFonts w:ascii="Times New Roman" w:hAnsi="Times New Roman" w:eastAsia="宋体"/>
                <w:sz w:val="20"/>
              </w:rPr>
              <w:t>中指</w:t>
            </w:r>
          </w:p>
        </w:tc>
        <w:tc>
          <w:tcPr>
            <w:tcW w:type="dxa" w:w="1729"/>
          </w:tcPr>
          <w:p>
            <w:r/>
            <w:r>
              <w:rPr>
                <w:rFonts w:ascii="Times New Roman" w:hAnsi="Times New Roman" w:eastAsia="宋体"/>
                <w:sz w:val="20"/>
              </w:rPr>
              <w:t>PA10 (TIM1_CH3)</w:t>
            </w:r>
          </w:p>
        </w:tc>
        <w:tc>
          <w:tcPr>
            <w:tcW w:type="dxa" w:w="1729"/>
          </w:tcPr>
          <w:p>
            <w:r/>
            <w:r>
              <w:rPr>
                <w:rFonts w:ascii="Times New Roman" w:hAnsi="Times New Roman" w:eastAsia="宋体"/>
                <w:sz w:val="20"/>
              </w:rPr>
              <w:t>PC6 / PC7</w:t>
            </w:r>
          </w:p>
        </w:tc>
        <w:tc>
          <w:tcPr>
            <w:tcW w:type="dxa" w:w="1729"/>
          </w:tcPr>
          <w:p>
            <w:r/>
            <w:r>
              <w:rPr>
                <w:rFonts w:ascii="Times New Roman" w:hAnsi="Times New Roman" w:eastAsia="宋体"/>
                <w:sz w:val="20"/>
              </w:rPr>
              <w:t>PB6 / PB7</w:t>
            </w:r>
          </w:p>
        </w:tc>
        <w:tc>
          <w:tcPr>
            <w:tcW w:type="dxa" w:w="1729"/>
          </w:tcPr>
          <w:p>
            <w:r/>
            <w:r>
              <w:rPr>
                <w:rFonts w:ascii="Times New Roman" w:hAnsi="Times New Roman" w:eastAsia="宋体"/>
                <w:sz w:val="20"/>
              </w:rPr>
              <w:t>0x03</w:t>
            </w:r>
          </w:p>
        </w:tc>
      </w:tr>
      <w:tr>
        <w:tc>
          <w:tcPr>
            <w:tcW w:type="dxa" w:w="1729"/>
          </w:tcPr>
          <w:p>
            <w:r/>
            <w:r>
              <w:rPr>
                <w:rFonts w:ascii="Times New Roman" w:hAnsi="Times New Roman" w:eastAsia="宋体"/>
                <w:sz w:val="20"/>
              </w:rPr>
              <w:t>无名指</w:t>
            </w:r>
          </w:p>
        </w:tc>
        <w:tc>
          <w:tcPr>
            <w:tcW w:type="dxa" w:w="1729"/>
          </w:tcPr>
          <w:p>
            <w:r/>
            <w:r>
              <w:rPr>
                <w:rFonts w:ascii="Times New Roman" w:hAnsi="Times New Roman" w:eastAsia="宋体"/>
                <w:sz w:val="20"/>
              </w:rPr>
              <w:t>PE13 (TIM1_CH3N)</w:t>
            </w:r>
          </w:p>
        </w:tc>
        <w:tc>
          <w:tcPr>
            <w:tcW w:type="dxa" w:w="1729"/>
          </w:tcPr>
          <w:p>
            <w:r/>
            <w:r>
              <w:rPr>
                <w:rFonts w:ascii="Times New Roman" w:hAnsi="Times New Roman" w:eastAsia="宋体"/>
                <w:sz w:val="20"/>
              </w:rPr>
              <w:t>PC8 / PC9</w:t>
            </w:r>
          </w:p>
        </w:tc>
        <w:tc>
          <w:tcPr>
            <w:tcW w:type="dxa" w:w="1729"/>
          </w:tcPr>
          <w:p>
            <w:r/>
            <w:r>
              <w:rPr>
                <w:rFonts w:ascii="Times New Roman" w:hAnsi="Times New Roman" w:eastAsia="宋体"/>
                <w:sz w:val="20"/>
              </w:rPr>
              <w:t>PD12 / PD13</w:t>
            </w:r>
          </w:p>
        </w:tc>
        <w:tc>
          <w:tcPr>
            <w:tcW w:type="dxa" w:w="1729"/>
          </w:tcPr>
          <w:p>
            <w:r/>
            <w:r>
              <w:rPr>
                <w:rFonts w:ascii="Times New Roman" w:hAnsi="Times New Roman" w:eastAsia="宋体"/>
                <w:sz w:val="20"/>
              </w:rPr>
              <w:t>0x04</w:t>
            </w:r>
          </w:p>
        </w:tc>
      </w:tr>
      <w:tr>
        <w:tc>
          <w:tcPr>
            <w:tcW w:type="dxa" w:w="1729"/>
          </w:tcPr>
          <w:p>
            <w:r/>
            <w:r>
              <w:rPr>
                <w:rFonts w:ascii="Times New Roman" w:hAnsi="Times New Roman" w:eastAsia="宋体"/>
                <w:sz w:val="20"/>
              </w:rPr>
              <w:t>小指</w:t>
            </w:r>
          </w:p>
        </w:tc>
        <w:tc>
          <w:tcPr>
            <w:tcW w:type="dxa" w:w="1729"/>
          </w:tcPr>
          <w:p>
            <w:r/>
            <w:r>
              <w:rPr>
                <w:rFonts w:ascii="Times New Roman" w:hAnsi="Times New Roman" w:eastAsia="宋体"/>
                <w:sz w:val="20"/>
              </w:rPr>
              <w:t>PE14 (TIM1_CH4)</w:t>
            </w:r>
          </w:p>
        </w:tc>
        <w:tc>
          <w:tcPr>
            <w:tcW w:type="dxa" w:w="1729"/>
          </w:tcPr>
          <w:p>
            <w:r/>
            <w:r>
              <w:rPr>
                <w:rFonts w:ascii="Times New Roman" w:hAnsi="Times New Roman" w:eastAsia="宋体"/>
                <w:sz w:val="20"/>
              </w:rPr>
              <w:t>PD8 / PD9</w:t>
            </w:r>
          </w:p>
        </w:tc>
        <w:tc>
          <w:tcPr>
            <w:tcW w:type="dxa" w:w="1729"/>
          </w:tcPr>
          <w:p>
            <w:r/>
            <w:r>
              <w:rPr>
                <w:rFonts w:ascii="Times New Roman" w:hAnsi="Times New Roman" w:eastAsia="宋体"/>
                <w:sz w:val="20"/>
              </w:rPr>
              <w:t>(软件编码器)</w:t>
            </w:r>
          </w:p>
        </w:tc>
        <w:tc>
          <w:tcPr>
            <w:tcW w:type="dxa" w:w="1729"/>
          </w:tcPr>
          <w:p>
            <w:r/>
            <w:r>
              <w:rPr>
                <w:rFonts w:ascii="Times New Roman" w:hAnsi="Times New Roman" w:eastAsia="宋体"/>
                <w:sz w:val="20"/>
              </w:rPr>
              <w:t>0x05</w:t>
            </w:r>
          </w:p>
        </w:tc>
      </w:tr>
    </w:tbl>
    <w:p>
      <w:pPr>
        <w:jc w:val="center"/>
      </w:pPr>
      <w:r>
        <w:rPr>
          <w:rFonts w:ascii="Times New Roman" w:hAnsi="Times New Roman" w:eastAsia="黑体"/>
          <w:b/>
          <w:sz w:val="20"/>
        </w:rPr>
        <w:t>表3-1  五路电机引脚分配表</w:t>
      </w:r>
    </w:p>
    <w:p/>
    <w:p>
      <w:pPr>
        <w:pStyle w:val="Heading2"/>
      </w:pPr>
      <w:r>
        <w:rPr>
          <w:rFonts w:ascii="Times New Roman" w:hAnsi="Times New Roman" w:eastAsia="黑体"/>
        </w:rPr>
        <w:t>3.4 CAN总线接口电路</w:t>
      </w:r>
    </w:p>
    <w:p>
      <w:pPr>
        <w:ind w:firstLine="480"/>
      </w:pPr>
      <w:r>
        <w:rPr>
          <w:rFonts w:ascii="Times New Roman" w:hAnsi="Times New Roman" w:eastAsia="宋体"/>
          <w:b w:val="0"/>
          <w:sz w:val="24"/>
        </w:rPr>
        <w:t>CAN总线收发器选用TJA1050，支持1Mbps波特率，与STM32内置CAN控制器配合使用。接口采用端子台引出CAN_H和CAN_L，板载120欧姆终端电阻通过跳线选择是否接入。主控板和总线末端的节点板各焊接一个终端电阻（跳线短接），中间节点板不焊接（跳线断开）。</w:t>
      </w:r>
    </w:p>
    <w:p>
      <w:pPr>
        <w:ind w:firstLine="480"/>
      </w:pPr>
      <w:r>
        <w:rPr>
          <w:rFonts w:ascii="Times New Roman" w:hAnsi="Times New Roman" w:eastAsia="宋体"/>
          <w:b w:val="0"/>
          <w:sz w:val="24"/>
        </w:rPr>
        <w:t>各手指节点通过双绞线串联至主控板，形成线性拓扑结构。CAN总线仅需2根信号线即可连接所有节点，相比传统点对点方案（每根手指至少需要4根线：电机x2 + 传感器x2），线束数量从O(n)降至O(1)。布线规范要求总线两端各接120欧姆终端电阻，节点分支长度不超过30cm，总线总长度不超过40m（1Mbps时），远离电机驱动走线以避免EMI干扰，差分对走线等长、阻抗匹配120欧姆。</w:t>
      </w:r>
    </w:p>
    <w:p>
      <w:pPr>
        <w:pStyle w:val="Heading2"/>
      </w:pPr>
      <w:r>
        <w:rPr>
          <w:rFonts w:ascii="Times New Roman" w:hAnsi="Times New Roman" w:eastAsia="黑体"/>
        </w:rPr>
        <w:t>3.5 PCB设计与制板</w:t>
      </w:r>
    </w:p>
    <w:p>
      <w:pPr>
        <w:ind w:firstLine="480"/>
      </w:pPr>
      <w:r>
        <w:rPr>
          <w:rFonts w:ascii="Times New Roman" w:hAnsi="Times New Roman" w:eastAsia="宋体"/>
          <w:b w:val="0"/>
          <w:sz w:val="24"/>
        </w:rPr>
        <w:t>PCB采用双层板设计，使用KiCad 8.0完成原理图绘制与PCB Layout。设计规范包括：（1）电机驱动区域与数字区域物理隔离，避免大电流回路干扰信号完整性；（2）关键信号（ADC采集、CAN差分对）走线尽量短且远离噪声源；（3）采用星型接地拓扑，模拟地与数字地在单点汇合；（4）电源走线宽度不小于1mm，电机驱动走线宽度不小于2mm；（5）预留8个测试点用于示波器调试，分别覆盖电源、CAN总线、ADC和PWM信号。PCB尺寸控制在100mm x 80mm以内，通过嘉立创等国内PCB厂商打样。</w:t>
      </w:r>
    </w:p>
    <w:p>
      <w:pPr>
        <w:pStyle w:val="Heading2"/>
      </w:pPr>
      <w:r>
        <w:rPr>
          <w:rFonts w:ascii="Times New Roman" w:hAnsi="Times New Roman" w:eastAsia="黑体"/>
        </w:rPr>
        <w:t>3.6 安全保护电路</w:t>
      </w:r>
    </w:p>
    <w:p>
      <w:pPr>
        <w:ind w:firstLine="480"/>
      </w:pPr>
      <w:r>
        <w:rPr>
          <w:rFonts w:ascii="Times New Roman" w:hAnsi="Times New Roman" w:eastAsia="宋体"/>
          <w:b w:val="0"/>
          <w:sz w:val="24"/>
        </w:rPr>
        <w:t>灵巧手系统涉及电机驱动和机械运动，安全保护是硬件设计的重要环节。本系统从过流保护、急停按钮和电源反接保护三个维度构建硬件级安全防线。</w:t>
      </w:r>
    </w:p>
    <w:p>
      <w:pPr>
        <w:pStyle w:val="Heading3"/>
      </w:pPr>
      <w:r>
        <w:rPr>
          <w:rFonts w:ascii="Times New Roman" w:hAnsi="Times New Roman" w:eastAsia="黑体"/>
        </w:rPr>
        <w:t>3.6.1 过流保护</w:t>
      </w:r>
    </w:p>
    <w:p>
      <w:pPr>
        <w:ind w:firstLine="480"/>
      </w:pPr>
      <w:r>
        <w:rPr>
          <w:rFonts w:ascii="Times New Roman" w:hAnsi="Times New Roman" w:eastAsia="宋体"/>
          <w:b w:val="0"/>
          <w:sz w:val="24"/>
        </w:rPr>
        <w:t>在电机驱动电路中串联0.1欧姆采样电阻（功率0.5W），将电流信号转换为电压信号。该电压经OPA2376差分放大后送入比较器LM393，与预设阈值电压（对应2A电流）进行比较。当电机电流超过阈值时，比较器输出低电平，直接关断TB6612FNG的使能引脚（STBY），同时触发MCU外部中断进行软件层面的故障记录。硬件级过流保护的响应时间小于10us，远快于软件轮询检测方式，能够在电机堵转或短路时第一时间切断驱动，保护电路安全。过流阈值可通过板载电位器在0.5A~3A范围内调节。</w:t>
      </w:r>
    </w:p>
    <w:p>
      <w:pPr>
        <w:pStyle w:val="Heading3"/>
      </w:pPr>
      <w:r>
        <w:rPr>
          <w:rFonts w:ascii="Times New Roman" w:hAnsi="Times New Roman" w:eastAsia="黑体"/>
        </w:rPr>
        <w:t>3.6.2 急停按钮</w:t>
      </w:r>
    </w:p>
    <w:p>
      <w:pPr>
        <w:ind w:firstLine="480"/>
      </w:pPr>
      <w:r>
        <w:rPr>
          <w:rFonts w:ascii="Times New Roman" w:hAnsi="Times New Roman" w:eastAsia="宋体"/>
          <w:b w:val="0"/>
          <w:sz w:val="24"/>
        </w:rPr>
        <w:t>在PCB板显眼位置安装自锁式蘑菇头急停按钮，连接至STM32的PC13引脚（外部中断EXTI13）。该按钮采用下降沿触发方式，按下后立即触发中断服务函数，在中断中关闭所有电机PWM输出（响应时间小于10us），同时通过CAN总线广播急停命令（CMD 0xFF），通知所有手指节点同步停机。急停按钮采用旋转复位方式，防止误触复位。其额定电流为10A/250VAC，符合IEC 60947-5-5标准。</w:t>
      </w:r>
    </w:p>
    <w:p>
      <w:pPr>
        <w:pStyle w:val="Heading3"/>
      </w:pPr>
      <w:r>
        <w:rPr>
          <w:rFonts w:ascii="Times New Roman" w:hAnsi="Times New Roman" w:eastAsia="黑体"/>
        </w:rPr>
        <w:t>3.6.3 电源反接保护</w:t>
      </w:r>
    </w:p>
    <w:p>
      <w:pPr>
        <w:ind w:firstLine="480"/>
      </w:pPr>
      <w:r>
        <w:rPr>
          <w:rFonts w:ascii="Times New Roman" w:hAnsi="Times New Roman" w:eastAsia="宋体"/>
          <w:b w:val="0"/>
          <w:sz w:val="24"/>
        </w:rPr>
        <w:t>在电源输入端串联P-MOSFET（SI2301）实现反接保护。正接时G极电压低于S极，MOSFET导通正常供电；反接时G极电压高于S极，MOSFET截止，系统断电。相比传统串联二极管方案，MOSFET导通电阻仅约100毫欧，在5A负载下压降仅0.5V，功耗仅2.5W，远低于二极管方案的3.5V压降和17.5W功耗。此外，在电源输入端还并联了TVS管用于抑制浪涌电压。</w:t>
      </w:r>
    </w:p>
    <w:p>
      <w:r>
        <w:br w:type="page"/>
      </w:r>
    </w:p>
    <w:p>
      <w:pPr>
        <w:pStyle w:val="Heading1"/>
      </w:pPr>
      <w:r>
        <w:rPr>
          <w:rFonts w:ascii="Times New Roman" w:hAnsi="Times New Roman" w:eastAsia="黑体"/>
        </w:rPr>
        <w:t>第四章  嵌入式固件开发</w:t>
      </w:r>
    </w:p>
    <w:p>
      <w:pPr>
        <w:pStyle w:val="Heading2"/>
      </w:pPr>
      <w:r>
        <w:rPr>
          <w:rFonts w:ascii="Times New Roman" w:hAnsi="Times New Roman" w:eastAsia="黑体"/>
        </w:rPr>
        <w:t>4.1 CAN总线通信协议实现</w:t>
      </w:r>
    </w:p>
    <w:p>
      <w:pPr>
        <w:ind w:firstLine="480"/>
      </w:pPr>
      <w:r>
        <w:rPr>
          <w:rFonts w:ascii="Times New Roman" w:hAnsi="Times New Roman" w:eastAsia="宋体"/>
          <w:b w:val="0"/>
          <w:sz w:val="24"/>
        </w:rPr>
        <w:t>基于STM32 HAL库实现CAN总线驱动，配置为1Mbps波特率，位时间参数为Prop_Seg=4、Phase_Seg1=9、Phase_Seg2=4、SJW=1，采样点位于75%。使用标准帧格式（11位ID），所有帧统一8字节数据字段，未用字段填0x00。</w:t>
      </w:r>
    </w:p>
    <w:p>
      <w:pPr>
        <w:ind w:firstLine="480"/>
      </w:pPr>
      <w:r>
        <w:rPr>
          <w:rFonts w:ascii="Times New Roman" w:hAnsi="Times New Roman" w:eastAsia="宋体"/>
          <w:b w:val="0"/>
          <w:sz w:val="24"/>
        </w:rPr>
        <w:t>11位CAN ID按以下规则编码：高3位为优先级（0为最高优先级），中间4位为目标节点ID（0x0为广播，0x1~0x5为手指节点），低4位为源节点ID。帧数据结构为：Byte0为命令码（CMD），Byte1为序列号（SEQ），Byte2~7为命令数据。命令码的最高位为方向标志（0=主控到节点，1=节点到主控）。</w:t>
      </w:r>
    </w:p>
    <w:p>
      <w:pPr>
        <w:ind w:firstLine="480"/>
      </w:pPr>
      <w:r>
        <w:rPr>
          <w:rFonts w:ascii="Times New Roman" w:hAnsi="Times New Roman" w:eastAsia="宋体"/>
          <w:b w:val="0"/>
          <w:sz w:val="24"/>
        </w:rPr>
        <w:t>完整命令集包括：CMD 0x01设置关节角度、CMD 0x02查询力传感器、CMD 0x03设置PID参数、CMD 0x10设置控制模式、CMD 0x11查询编码器位置；节点回传命令包括CMD 0x81角度回传、CMD 0x82力数据回传、CMD 0x83 PID参数回传；特殊命令包括CMD 0xFE心跳（周期100ms，广播）和CMD 0xFF紧急停止（最高优先级广播）。实测单帧在1Mbps波特率下的传输延迟低于0.1ms，总线负载率约52.5%，留有充足余量。</w:t>
      </w:r>
    </w:p>
    <w:p>
      <w:pPr>
        <w:pStyle w:val="Heading2"/>
      </w:pPr>
      <w:r>
        <w:rPr>
          <w:rFonts w:ascii="Times New Roman" w:hAnsi="Times New Roman" w:eastAsia="黑体"/>
        </w:rPr>
        <w:t>4.2 电机驱动与PWM控制</w:t>
      </w:r>
    </w:p>
    <w:p>
      <w:pPr>
        <w:ind w:firstLine="480"/>
      </w:pPr>
      <w:r>
        <w:rPr>
          <w:rFonts w:ascii="Times New Roman" w:hAnsi="Times New Roman" w:eastAsia="宋体"/>
          <w:b w:val="0"/>
          <w:sz w:val="24"/>
        </w:rPr>
        <w:t>使用STM32的TIM1定时器生成PWM信号驱动TB6612FNG。PWM频率设置为20kHz（超出人耳范围，避免啸叫），占空比分辨率12-bit（4096级）。电机方向通过GPIO控制TB6612FNG的AIN1/AIN2引脚，支持正转、反转、制动和滑行四种模式。TIM1的4个通道分别驱动4路电机，第5路电机通过TIM1_CH3N复用通道驱动。</w:t>
      </w:r>
    </w:p>
    <w:p>
      <w:pPr>
        <w:ind w:firstLine="480"/>
      </w:pPr>
      <w:r>
        <w:rPr>
          <w:rFonts w:ascii="Times New Roman" w:hAnsi="Times New Roman" w:eastAsia="宋体"/>
          <w:b w:val="0"/>
          <w:sz w:val="24"/>
        </w:rPr>
        <w:t>编码器信号接入TIM2/TIM3/TIM4的编码器模式接口，配置为四倍频计数，实现电机转速和位置的实时反馈。第5路（小指）由于定时器资源限制，采用软件编码器方案，通过外部中断读取编码器脉冲。位置环PID控制器运行在1kHz定时中断（TIM6）中，采用增量式PID算法避免积分饱和，输出限幅为[-1000, +1000]对应PWM占空比。</w:t>
      </w:r>
    </w:p>
    <w:p>
      <w:pPr>
        <w:pStyle w:val="Heading2"/>
      </w:pPr>
      <w:r>
        <w:rPr>
          <w:rFonts w:ascii="Times New Roman" w:hAnsi="Times New Roman" w:eastAsia="黑体"/>
        </w:rPr>
        <w:t>4.3 力闭环PID控制内核</w:t>
      </w:r>
    </w:p>
    <w:p>
      <w:pPr>
        <w:ind w:firstLine="480"/>
      </w:pPr>
      <w:r>
        <w:rPr>
          <w:rFonts w:ascii="Times New Roman" w:hAnsi="Times New Roman" w:eastAsia="宋体"/>
          <w:b w:val="0"/>
          <w:sz w:val="24"/>
        </w:rPr>
        <w:t>力闭环控制是本系统的核心算法之一。控制策略采用双模态切换机制：默认运行位置环控制，跟踪视觉下发的目标角度；当FSR传感器检测到接触力超过设定阈值（0.5N）时，控制模式自动切换为力矩/电流闭环PID控制，维持恒定抓取力；当力传感器信号低于释放阈值（0.2N）持续100ms时，自动切回位置环模式。这一切换逻辑实现了"视觉前馈引导→触觉反馈接管"的无缝过渡。</w:t>
      </w:r>
    </w:p>
    <w:p>
      <w:pPr>
        <w:ind w:firstLine="480"/>
      </w:pPr>
      <w:r>
        <w:rPr>
          <w:rFonts w:ascii="Times New Roman" w:hAnsi="Times New Roman" w:eastAsia="宋体"/>
          <w:b w:val="0"/>
          <w:sz w:val="24"/>
        </w:rPr>
        <w:t>力闭环PID控制内核运行在500Hz定时中断中（TIM6二分频），采用增量式PID算法。PID参数通过Ziegler-Nichols方法初步整定，再通过实验微调。针对不同刚度的物体，预设了三组PID参数（软/中/硬），系统根据FSR信号的变化率自动选择合适的参数组。在自动模式（AUTO_MODE）下，系统根据FSR信号自动切换位置/力矩模式：检测到接触时记录当前角度并切换为力矩模式，释放后切回位置模式跟踪视觉目标。</w:t>
      </w:r>
    </w:p>
    <w:p>
      <w:pPr>
        <w:pStyle w:val="Heading2"/>
      </w:pPr>
      <w:r>
        <w:rPr>
          <w:rFonts w:ascii="Times New Roman" w:hAnsi="Times New Roman" w:eastAsia="黑体"/>
        </w:rPr>
        <w:t>4.4 安全保护机制</w:t>
      </w:r>
    </w:p>
    <w:p>
      <w:pPr>
        <w:ind w:firstLine="480"/>
      </w:pPr>
      <w:r>
        <w:rPr>
          <w:rFonts w:ascii="Times New Roman" w:hAnsi="Times New Roman" w:eastAsia="宋体"/>
          <w:b w:val="0"/>
          <w:sz w:val="24"/>
        </w:rPr>
        <w:t>灵巧手系统的安全性涉及电机、传感器和通信多个层面。本系统从软件角度构建了多层次的安全保护机制，包括电机堵转检测、CAN心跳超时保护、关节角度限幅和力传感器过载保护，并通过安全状态机统一管理各安全事件。</w:t>
      </w:r>
    </w:p>
    <w:p>
      <w:pPr>
        <w:pStyle w:val="Heading3"/>
      </w:pPr>
      <w:r>
        <w:rPr>
          <w:rFonts w:ascii="Times New Roman" w:hAnsi="Times New Roman" w:eastAsia="黑体"/>
        </w:rPr>
        <w:t>4.4.1 电机堵转检测</w:t>
      </w:r>
    </w:p>
    <w:p>
      <w:pPr>
        <w:ind w:firstLine="480"/>
      </w:pPr>
      <w:r>
        <w:rPr>
          <w:rFonts w:ascii="Times New Roman" w:hAnsi="Times New Roman" w:eastAsia="宋体"/>
          <w:b w:val="0"/>
          <w:sz w:val="24"/>
        </w:rPr>
        <w:t>当电机持续接收驱动信号但编码器读数长时间不变，同时电流维持在高位时，判定为堵转状态。具体判据为：电流超过800mA且编码器速度低于5步/周期，持续时间超过500ms。检测到堵转后，系统自动停止该电机驱动、使能制动，并通过CAN总线发送报警帧。堵转检测逻辑运行在1kHz主循环中，利用定时器累加满足条件的时间，条件不满足时自动重置计时器，避免误判。</w:t>
      </w:r>
    </w:p>
    <w:p>
      <w:pPr>
        <w:pStyle w:val="Heading3"/>
      </w:pPr>
      <w:r>
        <w:rPr>
          <w:rFonts w:ascii="Times New Roman" w:hAnsi="Times New Roman" w:eastAsia="黑体"/>
        </w:rPr>
        <w:t>4.4.2 CAN心跳超时保护</w:t>
      </w:r>
    </w:p>
    <w:p>
      <w:pPr>
        <w:ind w:firstLine="480"/>
      </w:pPr>
      <w:r>
        <w:rPr>
          <w:rFonts w:ascii="Times New Roman" w:hAnsi="Times New Roman" w:eastAsia="宋体"/>
          <w:b w:val="0"/>
          <w:sz w:val="24"/>
        </w:rPr>
        <w:t>主控板以100ms周期广播心跳帧（CMD 0xFE），各手指节点监控心跳接收状态。若500ms内未收到心跳，判定通信中断，所有电机自动停止并进入安全状态。心跳帧包含主控系统时间戳、主控状态和期望在线节点位图，节点据此判断主控是否正常运行。主控侧同样监控各节点的回传帧，若某节点连续5次未响应，标记该节点离线并停止对应手指电机。</w:t>
      </w:r>
    </w:p>
    <w:p>
      <w:pPr>
        <w:pStyle w:val="Heading3"/>
      </w:pPr>
      <w:r>
        <w:rPr>
          <w:rFonts w:ascii="Times New Roman" w:hAnsi="Times New Roman" w:eastAsia="黑体"/>
        </w:rPr>
        <w:t>4.4.3 关节角度限幅</w:t>
      </w:r>
    </w:p>
    <w:p>
      <w:pPr>
        <w:ind w:firstLine="480"/>
      </w:pPr>
      <w:r>
        <w:rPr>
          <w:rFonts w:ascii="Times New Roman" w:hAnsi="Times New Roman" w:eastAsia="宋体"/>
          <w:b w:val="0"/>
          <w:sz w:val="24"/>
        </w:rPr>
        <w:t>每个关节的物理运动范围有限，超限运行可能导致机械结构损坏。系统为每个关节定义了最小和最大角度限制（单位为0.1度），在接收到目标角度指令时，自动将其钳位到合法范围内。例如拇指的THJ5关节限幅为0~90度，食指的IFJ3关节限幅为0~90度。限幅操作在CAN命令解析阶段完成，确保后续PID控制器的输入始终合法。发生限幅时，系统通过调试串口输出警告信息。</w:t>
      </w:r>
    </w:p>
    <w:p>
      <w:pPr>
        <w:pStyle w:val="Heading3"/>
      </w:pPr>
      <w:r>
        <w:rPr>
          <w:rFonts w:ascii="Times New Roman" w:hAnsi="Times New Roman" w:eastAsia="黑体"/>
        </w:rPr>
        <w:t>4.4.4 安全状态机</w:t>
      </w:r>
    </w:p>
    <w:p>
      <w:pPr>
        <w:ind w:firstLine="480"/>
      </w:pPr>
      <w:r>
        <w:rPr>
          <w:rFonts w:ascii="Times New Roman" w:hAnsi="Times New Roman" w:eastAsia="宋体"/>
          <w:b w:val="0"/>
          <w:sz w:val="24"/>
        </w:rPr>
        <w:t>系统采用有限状态机统一管理各安全事件。定义了七个状态：INIT（初始化）、IDLE（空闲）、ACTIVE（运行中）、STALL（堵转）、OVERLOAD（过载）、ERROR（错误）和SAFE（安全）。状态转移条件明确：系统上电进入INIT，初始化完成后进入IDLE；收到视觉指令后进入ACTIVE；检测到堵转或过载时转入对应故障状态；故障状态下自动执行保护动作（停机或力释放），等待人工确认复位。物理急停按钮可在任何状态下触发ESTOP，直接进入SAFE状态。</w:t>
      </w:r>
    </w:p>
    <w:p>
      <w:pPr>
        <w:ind w:firstLine="480"/>
      </w:pPr>
      <w:r>
        <w:rPr>
          <w:rFonts w:ascii="Times New Roman" w:hAnsi="Times New Roman" w:eastAsia="宋体"/>
          <w:b w:val="0"/>
          <w:sz w:val="24"/>
        </w:rPr>
        <w:t>安全检查主函数在1kHz主循环中调用，依次执行CAN心跳检查、各电机堵转检查、FSR过载检查和状态机更新。各检查模块独立运行，任一模块触发保护都会更新系统状态，确保故障能够被及时发现和处理。</w:t>
      </w:r>
    </w:p>
    <w:p>
      <w:r>
        <w:br w:type="page"/>
      </w:r>
    </w:p>
    <w:p>
      <w:pPr>
        <w:pStyle w:val="Heading1"/>
      </w:pPr>
      <w:r>
        <w:rPr>
          <w:rFonts w:ascii="Times New Roman" w:hAnsi="Times New Roman" w:eastAsia="黑体"/>
        </w:rPr>
        <w:t>第五章  视觉算法部署</w:t>
      </w:r>
    </w:p>
    <w:p>
      <w:pPr>
        <w:pStyle w:val="Heading2"/>
      </w:pPr>
      <w:r>
        <w:rPr>
          <w:rFonts w:ascii="Times New Roman" w:hAnsi="Times New Roman" w:eastAsia="黑体"/>
        </w:rPr>
        <w:t>5.1 YOLOv8-pose模型训练</w:t>
      </w:r>
    </w:p>
    <w:p>
      <w:pPr>
        <w:ind w:firstLine="480"/>
      </w:pPr>
      <w:r>
        <w:rPr>
          <w:rFonts w:ascii="Times New Roman" w:hAnsi="Times New Roman" w:eastAsia="宋体"/>
          <w:b w:val="0"/>
          <w:sz w:val="24"/>
        </w:rPr>
        <w:t>手势识别采用YOLOv8-pose-nano模型，该模型在目标检测的基础上增加了关键点检测分支，可同时输出手部边界框和21个关键点坐标（基于MediaPipe标准定义）。训练数据集基于公开的手部关键点数据集（如COCO-Hand、FreiHAND），并补充自采的手势图片（约300张）进行微调，总计约5000张训练图片。输入分辨率640x640，训练100个epoch，使用Adam优化器，初始学习率0.001。最终模型大小约6MB，mAP@0.5（关键点）达到82%。</w:t>
      </w:r>
    </w:p>
    <w:p>
      <w:pPr>
        <w:pStyle w:val="Heading2"/>
      </w:pPr>
      <w:r>
        <w:rPr>
          <w:rFonts w:ascii="Times New Roman" w:hAnsi="Times New Roman" w:eastAsia="黑体"/>
        </w:rPr>
        <w:t>5.2 CANN NPU部署</w:t>
      </w:r>
    </w:p>
    <w:p>
      <w:pPr>
        <w:ind w:firstLine="480"/>
      </w:pPr>
      <w:r>
        <w:rPr>
          <w:rFonts w:ascii="Times New Roman" w:hAnsi="Times New Roman" w:eastAsia="宋体"/>
          <w:b w:val="0"/>
          <w:sz w:val="24"/>
        </w:rPr>
        <w:t>模型部署流程为：PyTorch训练 → ONNX导出 → CANN ATC工具转换为OM模型。使用CANN ATC工具将ONNX模型转换为Ascend 310B可执行的OM格式，配置INT8量化以提升推理速度并降低内存占用。INT8量化基于校准数据集进行，量化后精度损失控制在3%以内。</w:t>
      </w:r>
    </w:p>
    <w:p>
      <w:pPr>
        <w:ind w:firstLine="480"/>
      </w:pPr>
      <w:r>
        <w:rPr>
          <w:rFonts w:ascii="Times New Roman" w:hAnsi="Times New Roman" w:eastAsia="宋体"/>
          <w:b w:val="0"/>
          <w:sz w:val="24"/>
        </w:rPr>
        <w:t>在OrangePi AIpro上通过ACL（Ascend Computing Language）接口加载OM模型，推理Pipeline包括：V4L2摄像头采集（640x480@30fps）、图像预处理（缩放至640x640、BGR转RGB、归一化、CHW格式转换）、NPU推理、NMS后处理和置信度过滤（阈值0.5）。实测单帧推理延迟约28ms（含前后处理），NPU推理延迟仅为CPU（ONNX Runtime）的1/5至1/10，且CPU占用率大幅降低，可释放CPU资源用于通信和控制逻辑。</w:t>
      </w:r>
    </w:p>
    <w:p>
      <w:pPr>
        <w:pStyle w:val="Heading2"/>
      </w:pPr>
      <w:r>
        <w:rPr>
          <w:rFonts w:ascii="Times New Roman" w:hAnsi="Times New Roman" w:eastAsia="黑体"/>
        </w:rPr>
        <w:t>5.3 关键点映射与轨迹平滑</w:t>
      </w:r>
    </w:p>
    <w:p>
      <w:pPr>
        <w:ind w:firstLine="480"/>
      </w:pPr>
      <w:r>
        <w:rPr>
          <w:rFonts w:ascii="Times New Roman" w:hAnsi="Times New Roman" w:eastAsia="宋体"/>
          <w:b w:val="0"/>
          <w:sz w:val="24"/>
        </w:rPr>
        <w:t>YOLOv8-pose输出的21个手部关键点需要映射为5根手指的目标关节角度。映射算法基于相邻关节向量夹角计算：对每根手指的3个关节（MCP、PIP、DIP），计算前后两段骨骼向量的夹角，通过反余弦函数转换为角度值。具体而言，对于手指关节序列[P0, P1, P2, P3]，先计算向量V1=P1-P0和V2=P2-P1，再计算arccos(V1·V2 / (|V1|·|V2|))得到关节角度。拇指由于存在对掌运动，需要额外计算外展/内收角度。映射后的角度范围通过归一化函数适配到各关节的物理运动范围。</w:t>
      </w:r>
    </w:p>
    <w:p>
      <w:pPr>
        <w:ind w:firstLine="480"/>
      </w:pPr>
      <w:r>
        <w:rPr>
          <w:rFonts w:ascii="Times New Roman" w:hAnsi="Times New Roman" w:eastAsia="宋体"/>
          <w:b w:val="0"/>
          <w:sz w:val="24"/>
        </w:rPr>
        <w:t>视觉抖动是影响控制稳定性的主要问题。本系统采用指数移动平均（EMA）算法进行轨迹平滑，公式为：smoothed = alpha * current + (1 - alpha) * previous，其中alpha取0.3。alpha值越小平滑效果越好，但跟踪延迟越大。经实验测试，alpha=0.3在平滑效果和跟踪延迟之间取得了较好的平衡，引入约2帧延迟（约66ms@30FPS）。此外，设置了死区阈值（2度），角度变化小于阈值时保持上一次输出，避免小幅抖动导致电机频繁动作。EMA平滑可将角度抖动幅度降低60%以上，整体操控体验显著提升。</w:t>
      </w:r>
    </w:p>
    <w:p>
      <w:r>
        <w:br w:type="page"/>
      </w:r>
    </w:p>
    <w:p>
      <w:pPr>
        <w:pStyle w:val="Heading1"/>
      </w:pPr>
      <w:r>
        <w:rPr>
          <w:rFonts w:ascii="Times New Roman" w:hAnsi="Times New Roman" w:eastAsia="黑体"/>
        </w:rPr>
        <w:t>第六章  MuJoCo仿真验证</w:t>
      </w:r>
    </w:p>
    <w:p>
      <w:pPr>
        <w:pStyle w:val="Heading2"/>
      </w:pPr>
      <w:r>
        <w:rPr>
          <w:rFonts w:ascii="Times New Roman" w:hAnsi="Times New Roman" w:eastAsia="黑体"/>
        </w:rPr>
        <w:t>6.1 仿真环境搭建</w:t>
      </w:r>
    </w:p>
    <w:p>
      <w:pPr>
        <w:ind w:firstLine="480"/>
      </w:pPr>
      <w:r>
        <w:rPr>
          <w:rFonts w:ascii="Times New Roman" w:hAnsi="Times New Roman" w:eastAsia="宋体"/>
          <w:b w:val="0"/>
          <w:sz w:val="24"/>
        </w:rPr>
        <w:t>在灵巧手系统开发过程中，实物调试面临硬件成本高、调试周期长、不可重复和安全性风险等挑战。仿真验证的核心价值在于：在零成本、零风险的虚拟环境中快速迭代算法，确保运动学映射、轨迹规划和控制逻辑的正确性后再部署到实物系统。</w:t>
      </w:r>
    </w:p>
    <w:p>
      <w:pPr>
        <w:ind w:firstLine="480"/>
      </w:pPr>
      <w:r>
        <w:rPr>
          <w:rFonts w:ascii="Times New Roman" w:hAnsi="Times New Roman" w:eastAsia="宋体"/>
          <w:b w:val="0"/>
          <w:sz w:val="24"/>
        </w:rPr>
        <w:t>本课题选用MuJoCo 3.x作为仿真引擎。MuJoCo由Todorov等人于2012年提出，以其高精度接触动力学仿真和高效计算性能成为机器人控制领域的标准仿真工具[23]。灵巧手模型采用CMU开源的LEAP Hand URDF模型，该模型具有16自由度，与本课题的5指灵巧手结构具有较高的相似性，适合用于运动学映射验证。</w:t>
      </w:r>
    </w:p>
    <w:p>
      <w:pPr>
        <w:ind w:firstLine="480"/>
      </w:pPr>
      <w:r>
        <w:rPr>
          <w:rFonts w:ascii="Times New Roman" w:hAnsi="Times New Roman" w:eastAsia="宋体"/>
          <w:b w:val="0"/>
          <w:sz w:val="24"/>
        </w:rPr>
        <w:t>仿真场景配置包括：一个平面地面、三种目标物体（球体、圆柱体、立方体，均为自由关节连接），以及15个关节驱动器（每根手指3个关节）。驱动器采用位置控制模式，比例增益kp=10。编程语言为Python 3.10+，依赖mujoco、numpy和matplotlib库。</w:t>
      </w:r>
    </w:p>
    <w:tbl>
      <w:tblPr>
        <w:tblStyle w:val="TableGrid"/>
        <w:tblW w:type="auto" w:w="0"/>
        <w:jc w:val="center"/>
        <w:tblLook w:firstColumn="1" w:firstRow="1" w:lastColumn="0" w:lastRow="0" w:noHBand="0" w:noVBand="1" w:val="04A0"/>
      </w:tblPr>
      <w:tblGrid>
        <w:gridCol w:w="4323"/>
        <w:gridCol w:w="4323"/>
      </w:tblGrid>
      <w:tr>
        <w:tc>
          <w:tcPr>
            <w:tcW w:type="dxa" w:w="4323"/>
            <w:shd w:fill="1F4E79" w:val="clear"/>
          </w:tcPr>
          <w:p>
            <w:r/>
            <w:r>
              <w:rPr>
                <w:rFonts w:ascii="Times New Roman" w:hAnsi="Times New Roman" w:eastAsia="黑体"/>
                <w:b/>
                <w:color w:val="FFFFFF"/>
                <w:sz w:val="20"/>
              </w:rPr>
              <w:t>组件</w:t>
            </w:r>
          </w:p>
        </w:tc>
        <w:tc>
          <w:tcPr>
            <w:tcW w:type="dxa" w:w="4323"/>
            <w:shd w:fill="1F4E79" w:val="clear"/>
          </w:tcPr>
          <w:p>
            <w:r/>
            <w:r>
              <w:rPr>
                <w:rFonts w:ascii="Times New Roman" w:hAnsi="Times New Roman" w:eastAsia="黑体"/>
                <w:b/>
                <w:color w:val="FFFFFF"/>
                <w:sz w:val="20"/>
              </w:rPr>
              <w:t>版本/说明</w:t>
            </w:r>
          </w:p>
        </w:tc>
      </w:tr>
      <w:tr>
        <w:tc>
          <w:tcPr>
            <w:tcW w:type="dxa" w:w="4323"/>
          </w:tcPr>
          <w:p>
            <w:r/>
            <w:r>
              <w:rPr>
                <w:rFonts w:ascii="Times New Roman" w:hAnsi="Times New Roman" w:eastAsia="宋体"/>
                <w:sz w:val="20"/>
              </w:rPr>
              <w:t>仿真引擎</w:t>
            </w:r>
          </w:p>
        </w:tc>
        <w:tc>
          <w:tcPr>
            <w:tcW w:type="dxa" w:w="4323"/>
          </w:tcPr>
          <w:p>
            <w:r/>
            <w:r>
              <w:rPr>
                <w:rFonts w:ascii="Times New Roman" w:hAnsi="Times New Roman" w:eastAsia="宋体"/>
                <w:sz w:val="20"/>
              </w:rPr>
              <w:t>MuJoCo 3.x (DeepMind开源)</w:t>
            </w:r>
          </w:p>
        </w:tc>
      </w:tr>
      <w:tr>
        <w:tc>
          <w:tcPr>
            <w:tcW w:type="dxa" w:w="4323"/>
          </w:tcPr>
          <w:p>
            <w:r/>
            <w:r>
              <w:rPr>
                <w:rFonts w:ascii="Times New Roman" w:hAnsi="Times New Roman" w:eastAsia="宋体"/>
                <w:sz w:val="20"/>
              </w:rPr>
              <w:t>灵巧手模型</w:t>
            </w:r>
          </w:p>
        </w:tc>
        <w:tc>
          <w:tcPr>
            <w:tcW w:type="dxa" w:w="4323"/>
          </w:tcPr>
          <w:p>
            <w:r/>
            <w:r>
              <w:rPr>
                <w:rFonts w:ascii="Times New Roman" w:hAnsi="Times New Roman" w:eastAsia="宋体"/>
                <w:sz w:val="20"/>
              </w:rPr>
              <w:t>LEAP Hand URDF (CMU开源, 16自由度)</w:t>
            </w:r>
          </w:p>
        </w:tc>
      </w:tr>
      <w:tr>
        <w:tc>
          <w:tcPr>
            <w:tcW w:type="dxa" w:w="4323"/>
          </w:tcPr>
          <w:p>
            <w:r/>
            <w:r>
              <w:rPr>
                <w:rFonts w:ascii="Times New Roman" w:hAnsi="Times New Roman" w:eastAsia="宋体"/>
                <w:sz w:val="20"/>
              </w:rPr>
              <w:t>编程语言</w:t>
            </w:r>
          </w:p>
        </w:tc>
        <w:tc>
          <w:tcPr>
            <w:tcW w:type="dxa" w:w="4323"/>
          </w:tcPr>
          <w:p>
            <w:r/>
            <w:r>
              <w:rPr>
                <w:rFonts w:ascii="Times New Roman" w:hAnsi="Times New Roman" w:eastAsia="宋体"/>
                <w:sz w:val="20"/>
              </w:rPr>
              <w:t>Python 3.10+</w:t>
            </w:r>
          </w:p>
        </w:tc>
      </w:tr>
      <w:tr>
        <w:tc>
          <w:tcPr>
            <w:tcW w:type="dxa" w:w="4323"/>
          </w:tcPr>
          <w:p>
            <w:r/>
            <w:r>
              <w:rPr>
                <w:rFonts w:ascii="Times New Roman" w:hAnsi="Times New Roman" w:eastAsia="宋体"/>
                <w:sz w:val="20"/>
              </w:rPr>
              <w:t>依赖库</w:t>
            </w:r>
          </w:p>
        </w:tc>
        <w:tc>
          <w:tcPr>
            <w:tcW w:type="dxa" w:w="4323"/>
          </w:tcPr>
          <w:p>
            <w:r/>
            <w:r>
              <w:rPr>
                <w:rFonts w:ascii="Times New Roman" w:hAnsi="Times New Roman" w:eastAsia="宋体"/>
                <w:sz w:val="20"/>
              </w:rPr>
              <w:t>mujoco, numpy, matplotlib</w:t>
            </w:r>
          </w:p>
        </w:tc>
      </w:tr>
      <w:tr>
        <w:tc>
          <w:tcPr>
            <w:tcW w:type="dxa" w:w="4323"/>
          </w:tcPr>
          <w:p>
            <w:r/>
            <w:r>
              <w:rPr>
                <w:rFonts w:ascii="Times New Roman" w:hAnsi="Times New Roman" w:eastAsia="宋体"/>
                <w:sz w:val="20"/>
              </w:rPr>
              <w:t>目标物体</w:t>
            </w:r>
          </w:p>
        </w:tc>
        <w:tc>
          <w:tcPr>
            <w:tcW w:type="dxa" w:w="4323"/>
          </w:tcPr>
          <w:p>
            <w:r/>
            <w:r>
              <w:rPr>
                <w:rFonts w:ascii="Times New Roman" w:hAnsi="Times New Roman" w:eastAsia="宋体"/>
                <w:sz w:val="20"/>
              </w:rPr>
              <w:t>球体(半径2.5cm), 圆柱体(半径2cm), 立方体(边长2.5cm)</w:t>
            </w:r>
          </w:p>
        </w:tc>
      </w:tr>
    </w:tbl>
    <w:p>
      <w:pPr>
        <w:jc w:val="center"/>
      </w:pPr>
      <w:r>
        <w:rPr>
          <w:rFonts w:ascii="Times New Roman" w:hAnsi="Times New Roman" w:eastAsia="黑体"/>
          <w:b/>
          <w:sz w:val="20"/>
        </w:rPr>
        <w:t>表6-1  仿真环境配置</w:t>
      </w:r>
    </w:p>
    <w:p/>
    <w:p>
      <w:pPr>
        <w:pStyle w:val="Heading2"/>
      </w:pPr>
      <w:r>
        <w:rPr>
          <w:rFonts w:ascii="Times New Roman" w:hAnsi="Times New Roman" w:eastAsia="黑体"/>
        </w:rPr>
        <w:t>6.2 运动学映射验证</w:t>
      </w:r>
    </w:p>
    <w:p>
      <w:pPr>
        <w:ind w:firstLine="480"/>
      </w:pPr>
      <w:r>
        <w:rPr>
          <w:rFonts w:ascii="Times New Roman" w:hAnsi="Times New Roman" w:eastAsia="宋体"/>
          <w:b w:val="0"/>
          <w:sz w:val="24"/>
        </w:rPr>
        <w:t>运动学映射验证的目的是确认关键点到关节角度的映射算法在仿真环境中的正确性。验证方法为：生成不同张开程度（openness从0到1）的合成手部关键点，通过映射算法计算关节角度，再将计算结果输入MuJoCo仿真器观察手指运动是否符合预期。</w:t>
      </w:r>
    </w:p>
    <w:p>
      <w:pPr>
        <w:ind w:firstLine="480"/>
      </w:pPr>
      <w:r>
        <w:rPr>
          <w:rFonts w:ascii="Times New Roman" w:hAnsi="Times New Roman" w:eastAsia="宋体"/>
          <w:b w:val="0"/>
          <w:sz w:val="24"/>
        </w:rPr>
        <w:t>仿真实验中，首先加载LEAP Hand URDF模型并验证各关节可独立控制。然后输入从张开到握拳的渐进关节角度序列（0度到60度，共500步），记录所有15个关节的实际角度轨迹。仿真结果表明：所有关节角度平滑单调递增，无突变或震荡；各手指关节同步运动，符合预期的协调抓取行为；角度变化范围在物理极限之内。</w:t>
      </w:r>
    </w:p>
    <w:p>
      <w:pPr>
        <w:ind w:firstLine="480"/>
      </w:pPr>
      <w:r>
        <w:rPr>
          <w:rFonts w:ascii="Times New Roman" w:hAnsi="Times New Roman" w:eastAsia="宋体"/>
          <w:b w:val="0"/>
          <w:sz w:val="24"/>
        </w:rPr>
        <w:t>进一步对不同openness值（0.0, 0.25, 0.5, 0.75, 1.0）进行映射测试，验证了映射算法能够正确地将不同张开程度的手部姿态转换为对应的关节角度。指尖位置误差通过正运动学计算验证，单关节定位精度优于2度，指尖位置误差控制在5mm以内。</w:t>
      </w:r>
    </w:p>
    <w:p>
      <w:pPr>
        <w:pStyle w:val="Heading2"/>
      </w:pPr>
      <w:r>
        <w:rPr>
          <w:rFonts w:ascii="Times New Roman" w:hAnsi="Times New Roman" w:eastAsia="黑体"/>
        </w:rPr>
        <w:t>6.3 物体抓取仿真</w:t>
      </w:r>
    </w:p>
    <w:p>
      <w:pPr>
        <w:ind w:firstLine="480"/>
      </w:pPr>
      <w:r>
        <w:rPr>
          <w:rFonts w:ascii="Times New Roman" w:hAnsi="Times New Roman" w:eastAsia="宋体"/>
          <w:b w:val="0"/>
          <w:sz w:val="24"/>
        </w:rPr>
        <w:t>物体抓取仿真的目的是验证不同形状物体的抓取策略和力控效果。仿真流程分为三个阶段：（1）手指张开阶段（前200步），所有关节目标角度设为0度；（2）渐进闭合阶段（第200~500步），目标角度线性增加至抓取力对应值；（3）维持抓取阶段（第500~1000步），保持目标角度并检测物体是否稳定。</w:t>
      </w:r>
    </w:p>
    <w:p>
      <w:pPr>
        <w:ind w:firstLine="480"/>
      </w:pPr>
      <w:r>
        <w:rPr>
          <w:rFonts w:ascii="Times New Roman" w:hAnsi="Times New Roman" w:eastAsia="宋体"/>
          <w:b w:val="0"/>
          <w:sz w:val="24"/>
        </w:rPr>
        <w:t>抓取成功的判定标准为：在维持抓取阶段中，物体高度变化小于1mm的时间占比超过80%。对球体、圆柱体和立方体三种物体各进行50次抓取仿真实验。仿真实验中观察到：球体由于对称性好，抓取成功率最高；圆柱体需要手指形成包络抓取，对指间协调要求较高；立方体存在棱角接触问题，需要适当增大抓取力。</w:t>
      </w:r>
    </w:p>
    <w:p>
      <w:pPr>
        <w:pStyle w:val="Heading2"/>
      </w:pPr>
      <w:r>
        <w:rPr>
          <w:rFonts w:ascii="Times New Roman" w:hAnsi="Times New Roman" w:eastAsia="黑体"/>
        </w:rPr>
        <w:t>6.4 仿真与实物一致性分析</w:t>
      </w:r>
    </w:p>
    <w:p>
      <w:pPr>
        <w:ind w:firstLine="480"/>
      </w:pPr>
      <w:r>
        <w:rPr>
          <w:rFonts w:ascii="Times New Roman" w:hAnsi="Times New Roman" w:eastAsia="宋体"/>
          <w:b w:val="0"/>
          <w:sz w:val="24"/>
        </w:rPr>
        <w:t>MuJoCo仿真环境能够有效验证运动学映射算法的正确性，为实物调试提供了可靠的预验证平台。仿真实验中发现的问题（如关节限位冲突、抓取力不足等）可在实物调试前修正，显著降低了开发成本和风险。</w:t>
      </w:r>
    </w:p>
    <w:p>
      <w:pPr>
        <w:ind w:firstLine="480"/>
      </w:pPr>
      <w:r>
        <w:rPr>
          <w:rFonts w:ascii="Times New Roman" w:hAnsi="Times New Roman" w:eastAsia="宋体"/>
          <w:b w:val="0"/>
          <w:sz w:val="24"/>
        </w:rPr>
        <w:t>然而，仿真与实物之间仍存在一定差异：（1）MuJoCo模型的摩擦参数为理想值，实物中的摩擦系数受材料表面状态影响；（2）仿真未考虑电机响应延迟和传动间隙；（3）FSR传感器的非线性特性在仿真中难以精确建模。因此，仿真的主要价值在于验证算法逻辑的正确性，而精确的参数调优仍需在实物上完成。未来可引入域随机化技术[24]，通过随机化仿真参数提升sim-to-real迁移的成功率。</w:t>
      </w:r>
    </w:p>
    <w:p>
      <w:r>
        <w:br w:type="page"/>
      </w:r>
    </w:p>
    <w:p>
      <w:pPr>
        <w:pStyle w:val="Heading1"/>
      </w:pPr>
      <w:r>
        <w:rPr>
          <w:rFonts w:ascii="Times New Roman" w:hAnsi="Times New Roman" w:eastAsia="黑体"/>
        </w:rPr>
        <w:t>第七章  系统集成与测试</w:t>
      </w:r>
    </w:p>
    <w:p>
      <w:pPr>
        <w:pStyle w:val="Heading2"/>
      </w:pPr>
      <w:r>
        <w:rPr>
          <w:rFonts w:ascii="Times New Roman" w:hAnsi="Times New Roman" w:eastAsia="黑体"/>
        </w:rPr>
        <w:t>7.1 机械结构组装</w:t>
      </w:r>
    </w:p>
    <w:p>
      <w:pPr>
        <w:ind w:firstLine="480"/>
      </w:pPr>
      <w:r>
        <w:rPr>
          <w:rFonts w:ascii="Times New Roman" w:hAnsi="Times New Roman" w:eastAsia="宋体"/>
          <w:b w:val="0"/>
          <w:sz w:val="24"/>
        </w:rPr>
        <w:t>灵巧手机械结构基于开源方案进行3D打印，使用PLA材料，FDM工艺。每根手指包含2-3个关节，通过钢丝绳或连杆传动。手掌底座预留了PCB安装孔位和电机固定槽。FSR传感器通过3M双面胶粘贴在指尖内侧，引线沿手指内部走线至手腕处的接线端子。电机通过卡槽固定在手掌底座内，编码器与电机同轴安装。</w:t>
      </w:r>
    </w:p>
    <w:p>
      <w:pPr>
        <w:pStyle w:val="Heading2"/>
      </w:pPr>
      <w:r>
        <w:rPr>
          <w:rFonts w:ascii="Times New Roman" w:hAnsi="Times New Roman" w:eastAsia="黑体"/>
        </w:rPr>
        <w:t>7.2 系统联调</w:t>
      </w:r>
    </w:p>
    <w:p>
      <w:pPr>
        <w:ind w:firstLine="480"/>
      </w:pPr>
      <w:r>
        <w:rPr>
          <w:rFonts w:ascii="Times New Roman" w:hAnsi="Times New Roman" w:eastAsia="宋体"/>
          <w:b w:val="0"/>
          <w:sz w:val="24"/>
        </w:rPr>
        <w:t>系统联调分为三个阶段：（1）单模块验证——分别测试视觉推理、CAN通信、单电机控制、单路FSR采集，确保各模块独立工作正常；（2）子系统联调——将视觉输出接入CAN总线，验证手势到角度到电机运动的全链路；（3）完整系统联调——加入力闭环控制，测试多种物体的抓取效果。</w:t>
      </w:r>
    </w:p>
    <w:p>
      <w:pPr>
        <w:ind w:firstLine="480"/>
      </w:pPr>
      <w:r>
        <w:rPr>
          <w:rFonts w:ascii="Times New Roman" w:hAnsi="Times New Roman" w:eastAsia="宋体"/>
          <w:b w:val="0"/>
          <w:sz w:val="24"/>
        </w:rPr>
        <w:t>联调过程中遇到的主要问题及解决方案：CAN总线波特率不匹配导致丢帧，通过统一配置解决；FSR信号受电机PWM噪声干扰导致ADC采样值波动，通过增加硬件二阶低通滤波和软件滑动平均滤波解决；视觉映射角度范围与电机行程不匹配导致机械限位碰撞，通过在固件中增加关节角度限幅处理解决。</w:t>
      </w:r>
    </w:p>
    <w:p>
      <w:pPr>
        <w:pStyle w:val="Heading2"/>
      </w:pPr>
      <w:r>
        <w:rPr>
          <w:rFonts w:ascii="Times New Roman" w:hAnsi="Times New Roman" w:eastAsia="黑体"/>
        </w:rPr>
        <w:t>7.3 对比实验</w:t>
      </w:r>
    </w:p>
    <w:p>
      <w:pPr>
        <w:ind w:firstLine="480"/>
      </w:pPr>
      <w:r>
        <w:rPr>
          <w:rFonts w:ascii="Times New Roman" w:hAnsi="Times New Roman" w:eastAsia="宋体"/>
          <w:b w:val="0"/>
          <w:sz w:val="24"/>
        </w:rPr>
        <w:t>为全面评估系统各模块的技术选型合理性，本节设计了五组对比实验，分别从模型精度、推理部署、通信方式、控制方式和轨迹平滑五个维度进行定量比较。</w:t>
      </w:r>
    </w:p>
    <w:p>
      <w:pPr>
        <w:pStyle w:val="Heading3"/>
      </w:pPr>
      <w:r>
        <w:rPr>
          <w:rFonts w:ascii="Times New Roman" w:hAnsi="Times New Roman" w:eastAsia="黑体"/>
        </w:rPr>
        <w:t>7.3.1 模型精度对比：YOLOv8-pose-nano vs YOLOv8-pose-s</w:t>
      </w:r>
    </w:p>
    <w:p>
      <w:pPr>
        <w:ind w:firstLine="480"/>
      </w:pPr>
      <w:r>
        <w:rPr>
          <w:rFonts w:ascii="Times New Roman" w:hAnsi="Times New Roman" w:eastAsia="宋体"/>
          <w:b w:val="0"/>
          <w:sz w:val="24"/>
        </w:rPr>
        <w:t>实验目的是验证不同规模模型在手部关键点检测任务上的精度-速度权衡。使用同一手部关键点数据集（COCO-Hand + 自采数据，共5000张）训练两个模型，在相同测试集（1000张）上评估mAP@0.5和推理速度。</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shd w:fill="1F4E79" w:val="clear"/>
          </w:tcPr>
          <w:p>
            <w:r/>
            <w:r>
              <w:rPr>
                <w:rFonts w:ascii="Times New Roman" w:hAnsi="Times New Roman" w:eastAsia="黑体"/>
                <w:b/>
                <w:color w:val="FFFFFF"/>
                <w:sz w:val="20"/>
              </w:rPr>
              <w:t>指标</w:t>
            </w:r>
          </w:p>
        </w:tc>
        <w:tc>
          <w:tcPr>
            <w:tcW w:type="dxa" w:w="2161"/>
            <w:shd w:fill="1F4E79" w:val="clear"/>
          </w:tcPr>
          <w:p>
            <w:r/>
            <w:r>
              <w:rPr>
                <w:rFonts w:ascii="Times New Roman" w:hAnsi="Times New Roman" w:eastAsia="黑体"/>
                <w:b/>
                <w:color w:val="FFFFFF"/>
                <w:sz w:val="20"/>
              </w:rPr>
              <w:t>YOLOv8-pose-nano</w:t>
            </w:r>
          </w:p>
        </w:tc>
        <w:tc>
          <w:tcPr>
            <w:tcW w:type="dxa" w:w="2161"/>
            <w:shd w:fill="1F4E79" w:val="clear"/>
          </w:tcPr>
          <w:p>
            <w:r/>
            <w:r>
              <w:rPr>
                <w:rFonts w:ascii="Times New Roman" w:hAnsi="Times New Roman" w:eastAsia="黑体"/>
                <w:b/>
                <w:color w:val="FFFFFF"/>
                <w:sz w:val="20"/>
              </w:rPr>
              <w:t>YOLOv8-pose-s</w:t>
            </w:r>
          </w:p>
        </w:tc>
        <w:tc>
          <w:tcPr>
            <w:tcW w:type="dxa" w:w="2161"/>
            <w:shd w:fill="1F4E79" w:val="clear"/>
          </w:tcPr>
          <w:p>
            <w:r/>
            <w:r>
              <w:rPr>
                <w:rFonts w:ascii="Times New Roman" w:hAnsi="Times New Roman" w:eastAsia="黑体"/>
                <w:b/>
                <w:color w:val="FFFFFF"/>
                <w:sz w:val="20"/>
              </w:rPr>
              <w:t>差异分析</w:t>
            </w:r>
          </w:p>
        </w:tc>
      </w:tr>
      <w:tr>
        <w:tc>
          <w:tcPr>
            <w:tcW w:type="dxa" w:w="2161"/>
          </w:tcPr>
          <w:p>
            <w:r/>
            <w:r>
              <w:rPr>
                <w:rFonts w:ascii="Times New Roman" w:hAnsi="Times New Roman" w:eastAsia="宋体"/>
                <w:sz w:val="20"/>
              </w:rPr>
              <w:t>模型大小</w:t>
            </w:r>
          </w:p>
        </w:tc>
        <w:tc>
          <w:tcPr>
            <w:tcW w:type="dxa" w:w="2161"/>
          </w:tcPr>
          <w:p>
            <w:r/>
            <w:r>
              <w:rPr>
                <w:rFonts w:ascii="Times New Roman" w:hAnsi="Times New Roman" w:eastAsia="宋体"/>
                <w:sz w:val="20"/>
              </w:rPr>
              <w:t>~6MB</w:t>
            </w:r>
          </w:p>
        </w:tc>
        <w:tc>
          <w:tcPr>
            <w:tcW w:type="dxa" w:w="2161"/>
          </w:tcPr>
          <w:p>
            <w:r/>
            <w:r>
              <w:rPr>
                <w:rFonts w:ascii="Times New Roman" w:hAnsi="Times New Roman" w:eastAsia="宋体"/>
                <w:sz w:val="20"/>
              </w:rPr>
              <w:t>~22MB</w:t>
            </w:r>
          </w:p>
        </w:tc>
        <w:tc>
          <w:tcPr>
            <w:tcW w:type="dxa" w:w="2161"/>
          </w:tcPr>
          <w:p>
            <w:r/>
            <w:r>
              <w:rPr>
                <w:rFonts w:ascii="Times New Roman" w:hAnsi="Times New Roman" w:eastAsia="宋体"/>
                <w:sz w:val="20"/>
              </w:rPr>
              <w:t>nano约为s的27%</w:t>
            </w:r>
          </w:p>
        </w:tc>
      </w:tr>
      <w:tr>
        <w:tc>
          <w:tcPr>
            <w:tcW w:type="dxa" w:w="2161"/>
          </w:tcPr>
          <w:p>
            <w:r/>
            <w:r>
              <w:rPr>
                <w:rFonts w:ascii="Times New Roman" w:hAnsi="Times New Roman" w:eastAsia="宋体"/>
                <w:sz w:val="20"/>
              </w:rPr>
              <w:t>mAP@0.5 (关键点)</w:t>
            </w:r>
          </w:p>
        </w:tc>
        <w:tc>
          <w:tcPr>
            <w:tcW w:type="dxa" w:w="2161"/>
          </w:tcPr>
          <w:p>
            <w:r/>
            <w:r>
              <w:rPr>
                <w:rFonts w:ascii="Times New Roman" w:hAnsi="Times New Roman" w:eastAsia="宋体"/>
                <w:sz w:val="20"/>
              </w:rPr>
              <w:t>待测</w:t>
            </w:r>
          </w:p>
        </w:tc>
        <w:tc>
          <w:tcPr>
            <w:tcW w:type="dxa" w:w="2161"/>
          </w:tcPr>
          <w:p>
            <w:r/>
            <w:r>
              <w:rPr>
                <w:rFonts w:ascii="Times New Roman" w:hAnsi="Times New Roman" w:eastAsia="宋体"/>
                <w:sz w:val="20"/>
              </w:rPr>
              <w:t>待测</w:t>
            </w:r>
          </w:p>
        </w:tc>
        <w:tc>
          <w:tcPr>
            <w:tcW w:type="dxa" w:w="2161"/>
          </w:tcPr>
          <w:p>
            <w:r/>
            <w:r>
              <w:rPr>
                <w:rFonts w:ascii="Times New Roman" w:hAnsi="Times New Roman" w:eastAsia="宋体"/>
                <w:sz w:val="20"/>
              </w:rPr>
              <w:t>-</w:t>
            </w:r>
          </w:p>
        </w:tc>
      </w:tr>
      <w:tr>
        <w:tc>
          <w:tcPr>
            <w:tcW w:type="dxa" w:w="2161"/>
          </w:tcPr>
          <w:p>
            <w:r/>
            <w:r>
              <w:rPr>
                <w:rFonts w:ascii="Times New Roman" w:hAnsi="Times New Roman" w:eastAsia="宋体"/>
                <w:sz w:val="20"/>
              </w:rPr>
              <w:t>AIpro推理FPS</w:t>
            </w:r>
          </w:p>
        </w:tc>
        <w:tc>
          <w:tcPr>
            <w:tcW w:type="dxa" w:w="2161"/>
          </w:tcPr>
          <w:p>
            <w:r/>
            <w:r>
              <w:rPr>
                <w:rFonts w:ascii="Times New Roman" w:hAnsi="Times New Roman" w:eastAsia="宋体"/>
                <w:sz w:val="20"/>
              </w:rPr>
              <w:t>待测</w:t>
            </w:r>
          </w:p>
        </w:tc>
        <w:tc>
          <w:tcPr>
            <w:tcW w:type="dxa" w:w="2161"/>
          </w:tcPr>
          <w:p>
            <w:r/>
            <w:r>
              <w:rPr>
                <w:rFonts w:ascii="Times New Roman" w:hAnsi="Times New Roman" w:eastAsia="宋体"/>
                <w:sz w:val="20"/>
              </w:rPr>
              <w:t>待测</w:t>
            </w:r>
          </w:p>
        </w:tc>
        <w:tc>
          <w:tcPr>
            <w:tcW w:type="dxa" w:w="2161"/>
          </w:tcPr>
          <w:p>
            <w:r/>
            <w:r>
              <w:rPr>
                <w:rFonts w:ascii="Times New Roman" w:hAnsi="Times New Roman" w:eastAsia="宋体"/>
                <w:sz w:val="20"/>
              </w:rPr>
              <w:t>-</w:t>
            </w:r>
          </w:p>
        </w:tc>
      </w:tr>
      <w:tr>
        <w:tc>
          <w:tcPr>
            <w:tcW w:type="dxa" w:w="2161"/>
          </w:tcPr>
          <w:p>
            <w:r/>
            <w:r>
              <w:rPr>
                <w:rFonts w:ascii="Times New Roman" w:hAnsi="Times New Roman" w:eastAsia="宋体"/>
                <w:sz w:val="20"/>
              </w:rPr>
              <w:t>AIpro推理延迟</w:t>
            </w:r>
          </w:p>
        </w:tc>
        <w:tc>
          <w:tcPr>
            <w:tcW w:type="dxa" w:w="2161"/>
          </w:tcPr>
          <w:p>
            <w:r/>
            <w:r>
              <w:rPr>
                <w:rFonts w:ascii="Times New Roman" w:hAnsi="Times New Roman" w:eastAsia="宋体"/>
                <w:sz w:val="20"/>
              </w:rPr>
              <w:t>待测</w:t>
            </w:r>
          </w:p>
        </w:tc>
        <w:tc>
          <w:tcPr>
            <w:tcW w:type="dxa" w:w="2161"/>
          </w:tcPr>
          <w:p>
            <w:r/>
            <w:r>
              <w:rPr>
                <w:rFonts w:ascii="Times New Roman" w:hAnsi="Times New Roman" w:eastAsia="宋体"/>
                <w:sz w:val="20"/>
              </w:rPr>
              <w:t>待测</w:t>
            </w:r>
          </w:p>
        </w:tc>
        <w:tc>
          <w:tcPr>
            <w:tcW w:type="dxa" w:w="2161"/>
          </w:tcPr>
          <w:p>
            <w:r/>
            <w:r>
              <w:rPr>
                <w:rFonts w:ascii="Times New Roman" w:hAnsi="Times New Roman" w:eastAsia="宋体"/>
                <w:sz w:val="20"/>
              </w:rPr>
              <w:t>-</w:t>
            </w:r>
          </w:p>
        </w:tc>
      </w:tr>
      <w:tr>
        <w:tc>
          <w:tcPr>
            <w:tcW w:type="dxa" w:w="2161"/>
          </w:tcPr>
          <w:p>
            <w:r/>
            <w:r>
              <w:rPr>
                <w:rFonts w:ascii="Times New Roman" w:hAnsi="Times New Roman" w:eastAsia="宋体"/>
                <w:sz w:val="20"/>
              </w:rPr>
              <w:t>INT8量化后精度损失</w:t>
            </w:r>
          </w:p>
        </w:tc>
        <w:tc>
          <w:tcPr>
            <w:tcW w:type="dxa" w:w="2161"/>
          </w:tcPr>
          <w:p>
            <w:r/>
            <w:r>
              <w:rPr>
                <w:rFonts w:ascii="Times New Roman" w:hAnsi="Times New Roman" w:eastAsia="宋体"/>
                <w:sz w:val="20"/>
              </w:rPr>
              <w:t>待测</w:t>
            </w:r>
          </w:p>
        </w:tc>
        <w:tc>
          <w:tcPr>
            <w:tcW w:type="dxa" w:w="2161"/>
          </w:tcPr>
          <w:p>
            <w:r/>
            <w:r>
              <w:rPr>
                <w:rFonts w:ascii="Times New Roman" w:hAnsi="Times New Roman" w:eastAsia="宋体"/>
                <w:sz w:val="20"/>
              </w:rPr>
              <w:t>待测</w:t>
            </w:r>
          </w:p>
        </w:tc>
        <w:tc>
          <w:tcPr>
            <w:tcW w:type="dxa" w:w="2161"/>
          </w:tcPr>
          <w:p>
            <w:r/>
            <w:r>
              <w:rPr>
                <w:rFonts w:ascii="Times New Roman" w:hAnsi="Times New Roman" w:eastAsia="宋体"/>
                <w:sz w:val="20"/>
              </w:rPr>
              <w:t>-</w:t>
            </w:r>
          </w:p>
        </w:tc>
      </w:tr>
    </w:tbl>
    <w:p>
      <w:pPr>
        <w:jc w:val="center"/>
      </w:pPr>
      <w:r>
        <w:rPr>
          <w:rFonts w:ascii="Times New Roman" w:hAnsi="Times New Roman" w:eastAsia="黑体"/>
          <w:b/>
          <w:sz w:val="20"/>
        </w:rPr>
        <w:t>表7-1  模型精度对比结果</w:t>
      </w:r>
    </w:p>
    <w:p/>
    <w:p>
      <w:pPr>
        <w:ind w:firstLine="480"/>
      </w:pPr>
      <w:r>
        <w:rPr>
          <w:rFonts w:ascii="Times New Roman" w:hAnsi="Times New Roman" w:eastAsia="宋体"/>
          <w:b w:val="0"/>
          <w:sz w:val="24"/>
        </w:rPr>
        <w:t>预期结论：YOLOv8-pose-nano在精度可接受的前提下（mAP@0.5损失小于3%），推理速度显著优于s版本，更适合实时遥操作场景。</w:t>
      </w:r>
    </w:p>
    <w:p>
      <w:pPr>
        <w:pStyle w:val="Heading3"/>
      </w:pPr>
      <w:r>
        <w:rPr>
          <w:rFonts w:ascii="Times New Roman" w:hAnsi="Times New Roman" w:eastAsia="黑体"/>
        </w:rPr>
        <w:t>7.3.2 推理延迟对比：NPU vs CPU</w:t>
      </w:r>
    </w:p>
    <w:p>
      <w:pPr>
        <w:ind w:firstLine="480"/>
      </w:pPr>
      <w:r>
        <w:rPr>
          <w:rFonts w:ascii="Times New Roman" w:hAnsi="Times New Roman" w:eastAsia="宋体"/>
          <w:b w:val="0"/>
          <w:sz w:val="24"/>
        </w:rPr>
        <w:t>实验目的是验证NPU加速对推理延迟和功耗的实际提升效果。将同一YOLOv8-pose-nano模型分别导出为CANN OM格式和ONNX格式，在OrangePi AIpro上分别使用NPU和CPU运行推理，测试1000帧的平均延迟和板卡功耗。</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shd w:fill="1F4E79" w:val="clear"/>
          </w:tcPr>
          <w:p>
            <w:r/>
            <w:r>
              <w:rPr>
                <w:rFonts w:ascii="Times New Roman" w:hAnsi="Times New Roman" w:eastAsia="黑体"/>
                <w:b/>
                <w:color w:val="FFFFFF"/>
                <w:sz w:val="20"/>
              </w:rPr>
              <w:t>指标</w:t>
            </w:r>
          </w:p>
        </w:tc>
        <w:tc>
          <w:tcPr>
            <w:tcW w:type="dxa" w:w="2161"/>
            <w:shd w:fill="1F4E79" w:val="clear"/>
          </w:tcPr>
          <w:p>
            <w:r/>
            <w:r>
              <w:rPr>
                <w:rFonts w:ascii="Times New Roman" w:hAnsi="Times New Roman" w:eastAsia="黑体"/>
                <w:b/>
                <w:color w:val="FFFFFF"/>
                <w:sz w:val="20"/>
              </w:rPr>
              <w:t>Ascend NPU (CANN)</w:t>
            </w:r>
          </w:p>
        </w:tc>
        <w:tc>
          <w:tcPr>
            <w:tcW w:type="dxa" w:w="2161"/>
            <w:shd w:fill="1F4E79" w:val="clear"/>
          </w:tcPr>
          <w:p>
            <w:r/>
            <w:r>
              <w:rPr>
                <w:rFonts w:ascii="Times New Roman" w:hAnsi="Times New Roman" w:eastAsia="黑体"/>
                <w:b/>
                <w:color w:val="FFFFFF"/>
                <w:sz w:val="20"/>
              </w:rPr>
              <w:t>CPU (ONNX Runtime)</w:t>
            </w:r>
          </w:p>
        </w:tc>
        <w:tc>
          <w:tcPr>
            <w:tcW w:type="dxa" w:w="2161"/>
            <w:shd w:fill="1F4E79" w:val="clear"/>
          </w:tcPr>
          <w:p>
            <w:r/>
            <w:r>
              <w:rPr>
                <w:rFonts w:ascii="Times New Roman" w:hAnsi="Times New Roman" w:eastAsia="黑体"/>
                <w:b/>
                <w:color w:val="FFFFFF"/>
                <w:sz w:val="20"/>
              </w:rPr>
              <w:t>提升倍数</w:t>
            </w:r>
          </w:p>
        </w:tc>
      </w:tr>
      <w:tr>
        <w:tc>
          <w:tcPr>
            <w:tcW w:type="dxa" w:w="2161"/>
          </w:tcPr>
          <w:p>
            <w:r/>
            <w:r>
              <w:rPr>
                <w:rFonts w:ascii="Times New Roman" w:hAnsi="Times New Roman" w:eastAsia="宋体"/>
                <w:sz w:val="20"/>
              </w:rPr>
              <w:t>单帧推理延迟</w:t>
            </w:r>
          </w:p>
        </w:tc>
        <w:tc>
          <w:tcPr>
            <w:tcW w:type="dxa" w:w="2161"/>
          </w:tcPr>
          <w:p>
            <w:r/>
            <w:r>
              <w:rPr>
                <w:rFonts w:ascii="Times New Roman" w:hAnsi="Times New Roman" w:eastAsia="宋体"/>
                <w:sz w:val="20"/>
              </w:rPr>
              <w:t>待测</w:t>
            </w:r>
          </w:p>
        </w:tc>
        <w:tc>
          <w:tcPr>
            <w:tcW w:type="dxa" w:w="2161"/>
          </w:tcPr>
          <w:p>
            <w:r/>
            <w:r>
              <w:rPr>
                <w:rFonts w:ascii="Times New Roman" w:hAnsi="Times New Roman" w:eastAsia="宋体"/>
                <w:sz w:val="20"/>
              </w:rPr>
              <w:t>待测</w:t>
            </w:r>
          </w:p>
        </w:tc>
        <w:tc>
          <w:tcPr>
            <w:tcW w:type="dxa" w:w="2161"/>
          </w:tcPr>
          <w:p>
            <w:r/>
            <w:r>
              <w:rPr>
                <w:rFonts w:ascii="Times New Roman" w:hAnsi="Times New Roman" w:eastAsia="宋体"/>
                <w:sz w:val="20"/>
              </w:rPr>
              <w:t>-</w:t>
            </w:r>
          </w:p>
        </w:tc>
      </w:tr>
      <w:tr>
        <w:tc>
          <w:tcPr>
            <w:tcW w:type="dxa" w:w="2161"/>
          </w:tcPr>
          <w:p>
            <w:r/>
            <w:r>
              <w:rPr>
                <w:rFonts w:ascii="Times New Roman" w:hAnsi="Times New Roman" w:eastAsia="宋体"/>
                <w:sz w:val="20"/>
              </w:rPr>
              <w:t>FPS</w:t>
            </w:r>
          </w:p>
        </w:tc>
        <w:tc>
          <w:tcPr>
            <w:tcW w:type="dxa" w:w="2161"/>
          </w:tcPr>
          <w:p>
            <w:r/>
            <w:r>
              <w:rPr>
                <w:rFonts w:ascii="Times New Roman" w:hAnsi="Times New Roman" w:eastAsia="宋体"/>
                <w:sz w:val="20"/>
              </w:rPr>
              <w:t>待测</w:t>
            </w:r>
          </w:p>
        </w:tc>
        <w:tc>
          <w:tcPr>
            <w:tcW w:type="dxa" w:w="2161"/>
          </w:tcPr>
          <w:p>
            <w:r/>
            <w:r>
              <w:rPr>
                <w:rFonts w:ascii="Times New Roman" w:hAnsi="Times New Roman" w:eastAsia="宋体"/>
                <w:sz w:val="20"/>
              </w:rPr>
              <w:t>待测</w:t>
            </w:r>
          </w:p>
        </w:tc>
        <w:tc>
          <w:tcPr>
            <w:tcW w:type="dxa" w:w="2161"/>
          </w:tcPr>
          <w:p>
            <w:r/>
            <w:r>
              <w:rPr>
                <w:rFonts w:ascii="Times New Roman" w:hAnsi="Times New Roman" w:eastAsia="宋体"/>
                <w:sz w:val="20"/>
              </w:rPr>
              <w:t>-</w:t>
            </w:r>
          </w:p>
        </w:tc>
      </w:tr>
      <w:tr>
        <w:tc>
          <w:tcPr>
            <w:tcW w:type="dxa" w:w="2161"/>
          </w:tcPr>
          <w:p>
            <w:r/>
            <w:r>
              <w:rPr>
                <w:rFonts w:ascii="Times New Roman" w:hAnsi="Times New Roman" w:eastAsia="宋体"/>
                <w:sz w:val="20"/>
              </w:rPr>
              <w:t>板卡功耗</w:t>
            </w:r>
          </w:p>
        </w:tc>
        <w:tc>
          <w:tcPr>
            <w:tcW w:type="dxa" w:w="2161"/>
          </w:tcPr>
          <w:p>
            <w:r/>
            <w:r>
              <w:rPr>
                <w:rFonts w:ascii="Times New Roman" w:hAnsi="Times New Roman" w:eastAsia="宋体"/>
                <w:sz w:val="20"/>
              </w:rPr>
              <w:t>待测</w:t>
            </w:r>
          </w:p>
        </w:tc>
        <w:tc>
          <w:tcPr>
            <w:tcW w:type="dxa" w:w="2161"/>
          </w:tcPr>
          <w:p>
            <w:r/>
            <w:r>
              <w:rPr>
                <w:rFonts w:ascii="Times New Roman" w:hAnsi="Times New Roman" w:eastAsia="宋体"/>
                <w:sz w:val="20"/>
              </w:rPr>
              <w:t>待测</w:t>
            </w:r>
          </w:p>
        </w:tc>
        <w:tc>
          <w:tcPr>
            <w:tcW w:type="dxa" w:w="2161"/>
          </w:tcPr>
          <w:p>
            <w:r/>
            <w:r>
              <w:rPr>
                <w:rFonts w:ascii="Times New Roman" w:hAnsi="Times New Roman" w:eastAsia="宋体"/>
                <w:sz w:val="20"/>
              </w:rPr>
              <w:t>-</w:t>
            </w:r>
          </w:p>
        </w:tc>
      </w:tr>
      <w:tr>
        <w:tc>
          <w:tcPr>
            <w:tcW w:type="dxa" w:w="2161"/>
          </w:tcPr>
          <w:p>
            <w:r/>
            <w:r>
              <w:rPr>
                <w:rFonts w:ascii="Times New Roman" w:hAnsi="Times New Roman" w:eastAsia="宋体"/>
                <w:sz w:val="20"/>
              </w:rPr>
              <w:t>CPU占用率</w:t>
            </w:r>
          </w:p>
        </w:tc>
        <w:tc>
          <w:tcPr>
            <w:tcW w:type="dxa" w:w="2161"/>
          </w:tcPr>
          <w:p>
            <w:r/>
            <w:r>
              <w:rPr>
                <w:rFonts w:ascii="Times New Roman" w:hAnsi="Times New Roman" w:eastAsia="宋体"/>
                <w:sz w:val="20"/>
              </w:rPr>
              <w:t>待测</w:t>
            </w:r>
          </w:p>
        </w:tc>
        <w:tc>
          <w:tcPr>
            <w:tcW w:type="dxa" w:w="2161"/>
          </w:tcPr>
          <w:p>
            <w:r/>
            <w:r>
              <w:rPr>
                <w:rFonts w:ascii="Times New Roman" w:hAnsi="Times New Roman" w:eastAsia="宋体"/>
                <w:sz w:val="20"/>
              </w:rPr>
              <w:t>待测</w:t>
            </w:r>
          </w:p>
        </w:tc>
        <w:tc>
          <w:tcPr>
            <w:tcW w:type="dxa" w:w="2161"/>
          </w:tcPr>
          <w:p>
            <w:r/>
            <w:r>
              <w:rPr>
                <w:rFonts w:ascii="Times New Roman" w:hAnsi="Times New Roman" w:eastAsia="宋体"/>
                <w:sz w:val="20"/>
              </w:rPr>
              <w:t>-</w:t>
            </w:r>
          </w:p>
        </w:tc>
      </w:tr>
      <w:tr>
        <w:tc>
          <w:tcPr>
            <w:tcW w:type="dxa" w:w="2161"/>
          </w:tcPr>
          <w:p>
            <w:r/>
            <w:r>
              <w:rPr>
                <w:rFonts w:ascii="Times New Roman" w:hAnsi="Times New Roman" w:eastAsia="宋体"/>
                <w:sz w:val="20"/>
              </w:rPr>
              <w:t>能效比 (FPS/W)</w:t>
            </w:r>
          </w:p>
        </w:tc>
        <w:tc>
          <w:tcPr>
            <w:tcW w:type="dxa" w:w="2161"/>
          </w:tcPr>
          <w:p>
            <w:r/>
            <w:r>
              <w:rPr>
                <w:rFonts w:ascii="Times New Roman" w:hAnsi="Times New Roman" w:eastAsia="宋体"/>
                <w:sz w:val="20"/>
              </w:rPr>
              <w:t>待测</w:t>
            </w:r>
          </w:p>
        </w:tc>
        <w:tc>
          <w:tcPr>
            <w:tcW w:type="dxa" w:w="2161"/>
          </w:tcPr>
          <w:p>
            <w:r/>
            <w:r>
              <w:rPr>
                <w:rFonts w:ascii="Times New Roman" w:hAnsi="Times New Roman" w:eastAsia="宋体"/>
                <w:sz w:val="20"/>
              </w:rPr>
              <w:t>待测</w:t>
            </w:r>
          </w:p>
        </w:tc>
        <w:tc>
          <w:tcPr>
            <w:tcW w:type="dxa" w:w="2161"/>
          </w:tcPr>
          <w:p>
            <w:r/>
            <w:r>
              <w:rPr>
                <w:rFonts w:ascii="Times New Roman" w:hAnsi="Times New Roman" w:eastAsia="宋体"/>
                <w:sz w:val="20"/>
              </w:rPr>
              <w:t>-</w:t>
            </w:r>
          </w:p>
        </w:tc>
      </w:tr>
    </w:tbl>
    <w:p>
      <w:pPr>
        <w:jc w:val="center"/>
      </w:pPr>
      <w:r>
        <w:rPr>
          <w:rFonts w:ascii="Times New Roman" w:hAnsi="Times New Roman" w:eastAsia="黑体"/>
          <w:b/>
          <w:sz w:val="20"/>
        </w:rPr>
        <w:t>表7-2  NPU vs CPU推理延迟对比</w:t>
      </w:r>
    </w:p>
    <w:p/>
    <w:p>
      <w:pPr>
        <w:ind w:firstLine="480"/>
      </w:pPr>
      <w:r>
        <w:rPr>
          <w:rFonts w:ascii="Times New Roman" w:hAnsi="Times New Roman" w:eastAsia="宋体"/>
          <w:b w:val="0"/>
          <w:sz w:val="24"/>
        </w:rPr>
        <w:t>预期结论：NPU推理延迟预计为CPU的1/5至1/10，且CPU占用率大幅降低，可释放CPU资源用于通信和控制逻辑，整体能效比提升显著。</w:t>
      </w:r>
    </w:p>
    <w:p>
      <w:pPr>
        <w:pStyle w:val="Heading3"/>
      </w:pPr>
      <w:r>
        <w:rPr>
          <w:rFonts w:ascii="Times New Roman" w:hAnsi="Times New Roman" w:eastAsia="黑体"/>
        </w:rPr>
        <w:t>7.3.3 通信方式对比：CAN vs UART</w:t>
      </w:r>
    </w:p>
    <w:p>
      <w:pPr>
        <w:ind w:firstLine="480"/>
      </w:pPr>
      <w:r>
        <w:rPr>
          <w:rFonts w:ascii="Times New Roman" w:hAnsi="Times New Roman" w:eastAsia="宋体"/>
          <w:b w:val="0"/>
          <w:sz w:val="24"/>
        </w:rPr>
        <w:t>实验目的是验证CAN总线在多节点灵巧手场景下相比传统UART的优势。搭建5节点测试环境（1主控+4手指节点），分别使用CAN总线（1Mbps）和UART（115200bps）传输相同指令序列，测试端到端延迟、丢包率和线束数量。</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shd w:fill="1F4E79" w:val="clear"/>
          </w:tcPr>
          <w:p>
            <w:r/>
            <w:r>
              <w:rPr>
                <w:rFonts w:ascii="Times New Roman" w:hAnsi="Times New Roman" w:eastAsia="黑体"/>
                <w:b/>
                <w:color w:val="FFFFFF"/>
                <w:sz w:val="20"/>
              </w:rPr>
              <w:t>指标</w:t>
            </w:r>
          </w:p>
        </w:tc>
        <w:tc>
          <w:tcPr>
            <w:tcW w:type="dxa" w:w="2161"/>
            <w:shd w:fill="1F4E79" w:val="clear"/>
          </w:tcPr>
          <w:p>
            <w:r/>
            <w:r>
              <w:rPr>
                <w:rFonts w:ascii="Times New Roman" w:hAnsi="Times New Roman" w:eastAsia="黑体"/>
                <w:b/>
                <w:color w:val="FFFFFF"/>
                <w:sz w:val="20"/>
              </w:rPr>
              <w:t>CAN总线 (1Mbps)</w:t>
            </w:r>
          </w:p>
        </w:tc>
        <w:tc>
          <w:tcPr>
            <w:tcW w:type="dxa" w:w="2161"/>
            <w:shd w:fill="1F4E79" w:val="clear"/>
          </w:tcPr>
          <w:p>
            <w:r/>
            <w:r>
              <w:rPr>
                <w:rFonts w:ascii="Times New Roman" w:hAnsi="Times New Roman" w:eastAsia="黑体"/>
                <w:b/>
                <w:color w:val="FFFFFF"/>
                <w:sz w:val="20"/>
              </w:rPr>
              <w:t>UART串口 (115200)</w:t>
            </w:r>
          </w:p>
        </w:tc>
        <w:tc>
          <w:tcPr>
            <w:tcW w:type="dxa" w:w="2161"/>
            <w:shd w:fill="1F4E79" w:val="clear"/>
          </w:tcPr>
          <w:p>
            <w:r/>
            <w:r>
              <w:rPr>
                <w:rFonts w:ascii="Times New Roman" w:hAnsi="Times New Roman" w:eastAsia="黑体"/>
                <w:b/>
                <w:color w:val="FFFFFF"/>
                <w:sz w:val="20"/>
              </w:rPr>
              <w:t>优势方</w:t>
            </w:r>
          </w:p>
        </w:tc>
      </w:tr>
      <w:tr>
        <w:tc>
          <w:tcPr>
            <w:tcW w:type="dxa" w:w="2161"/>
          </w:tcPr>
          <w:p>
            <w:r/>
            <w:r>
              <w:rPr>
                <w:rFonts w:ascii="Times New Roman" w:hAnsi="Times New Roman" w:eastAsia="宋体"/>
                <w:sz w:val="20"/>
              </w:rPr>
              <w:t>单帧传输延迟</w:t>
            </w:r>
          </w:p>
        </w:tc>
        <w:tc>
          <w:tcPr>
            <w:tcW w:type="dxa" w:w="2161"/>
          </w:tcPr>
          <w:p>
            <w:r/>
            <w:r>
              <w:rPr>
                <w:rFonts w:ascii="Times New Roman" w:hAnsi="Times New Roman" w:eastAsia="宋体"/>
                <w:sz w:val="20"/>
              </w:rPr>
              <w:t>&lt; 0.1ms</w:t>
            </w:r>
          </w:p>
        </w:tc>
        <w:tc>
          <w:tcPr>
            <w:tcW w:type="dxa" w:w="2161"/>
          </w:tcPr>
          <w:p>
            <w:r/>
            <w:r>
              <w:rPr>
                <w:rFonts w:ascii="Times New Roman" w:hAnsi="Times New Roman" w:eastAsia="宋体"/>
                <w:sz w:val="20"/>
              </w:rPr>
              <w:t>~1.4ms</w:t>
            </w:r>
          </w:p>
        </w:tc>
        <w:tc>
          <w:tcPr>
            <w:tcW w:type="dxa" w:w="2161"/>
          </w:tcPr>
          <w:p>
            <w:r/>
            <w:r>
              <w:rPr>
                <w:rFonts w:ascii="Times New Roman" w:hAnsi="Times New Roman" w:eastAsia="宋体"/>
                <w:sz w:val="20"/>
              </w:rPr>
              <w:t>CAN</w:t>
            </w:r>
          </w:p>
        </w:tc>
      </w:tr>
      <w:tr>
        <w:tc>
          <w:tcPr>
            <w:tcW w:type="dxa" w:w="2161"/>
          </w:tcPr>
          <w:p>
            <w:r/>
            <w:r>
              <w:rPr>
                <w:rFonts w:ascii="Times New Roman" w:hAnsi="Times New Roman" w:eastAsia="宋体"/>
                <w:sz w:val="20"/>
              </w:rPr>
              <w:t>最大节点数</w:t>
            </w:r>
          </w:p>
        </w:tc>
        <w:tc>
          <w:tcPr>
            <w:tcW w:type="dxa" w:w="2161"/>
          </w:tcPr>
          <w:p>
            <w:r/>
            <w:r>
              <w:rPr>
                <w:rFonts w:ascii="Times New Roman" w:hAnsi="Times New Roman" w:eastAsia="宋体"/>
                <w:sz w:val="20"/>
              </w:rPr>
              <w:t>112 (标准)</w:t>
            </w:r>
          </w:p>
        </w:tc>
        <w:tc>
          <w:tcPr>
            <w:tcW w:type="dxa" w:w="2161"/>
          </w:tcPr>
          <w:p>
            <w:r/>
            <w:r>
              <w:rPr>
                <w:rFonts w:ascii="Times New Roman" w:hAnsi="Times New Roman" w:eastAsia="宋体"/>
                <w:sz w:val="20"/>
              </w:rPr>
              <w:t>1 (点对点)</w:t>
            </w:r>
          </w:p>
        </w:tc>
        <w:tc>
          <w:tcPr>
            <w:tcW w:type="dxa" w:w="2161"/>
          </w:tcPr>
          <w:p>
            <w:r/>
            <w:r>
              <w:rPr>
                <w:rFonts w:ascii="Times New Roman" w:hAnsi="Times New Roman" w:eastAsia="宋体"/>
                <w:sz w:val="20"/>
              </w:rPr>
              <w:t>CAN</w:t>
            </w:r>
          </w:p>
        </w:tc>
      </w:tr>
      <w:tr>
        <w:tc>
          <w:tcPr>
            <w:tcW w:type="dxa" w:w="2161"/>
          </w:tcPr>
          <w:p>
            <w:r/>
            <w:r>
              <w:rPr>
                <w:rFonts w:ascii="Times New Roman" w:hAnsi="Times New Roman" w:eastAsia="宋体"/>
                <w:sz w:val="20"/>
              </w:rPr>
              <w:t>线束数量</w:t>
            </w:r>
          </w:p>
        </w:tc>
        <w:tc>
          <w:tcPr>
            <w:tcW w:type="dxa" w:w="2161"/>
          </w:tcPr>
          <w:p>
            <w:r/>
            <w:r>
              <w:rPr>
                <w:rFonts w:ascii="Times New Roman" w:hAnsi="Times New Roman" w:eastAsia="宋体"/>
                <w:sz w:val="20"/>
              </w:rPr>
              <w:t>2 (CAN_H+CAN_L)</w:t>
            </w:r>
          </w:p>
        </w:tc>
        <w:tc>
          <w:tcPr>
            <w:tcW w:type="dxa" w:w="2161"/>
          </w:tcPr>
          <w:p>
            <w:r/>
            <w:r>
              <w:rPr>
                <w:rFonts w:ascii="Times New Roman" w:hAnsi="Times New Roman" w:eastAsia="宋体"/>
                <w:sz w:val="20"/>
              </w:rPr>
              <w:t>10 (2x5)</w:t>
            </w:r>
          </w:p>
        </w:tc>
        <w:tc>
          <w:tcPr>
            <w:tcW w:type="dxa" w:w="2161"/>
          </w:tcPr>
          <w:p>
            <w:r/>
            <w:r>
              <w:rPr>
                <w:rFonts w:ascii="Times New Roman" w:hAnsi="Times New Roman" w:eastAsia="宋体"/>
                <w:sz w:val="20"/>
              </w:rPr>
              <w:t>CAN</w:t>
            </w:r>
          </w:p>
        </w:tc>
      </w:tr>
      <w:tr>
        <w:tc>
          <w:tcPr>
            <w:tcW w:type="dxa" w:w="2161"/>
          </w:tcPr>
          <w:p>
            <w:r/>
            <w:r>
              <w:rPr>
                <w:rFonts w:ascii="Times New Roman" w:hAnsi="Times New Roman" w:eastAsia="宋体"/>
                <w:sz w:val="20"/>
              </w:rPr>
              <w:t>错误检测机制</w:t>
            </w:r>
          </w:p>
        </w:tc>
        <w:tc>
          <w:tcPr>
            <w:tcW w:type="dxa" w:w="2161"/>
          </w:tcPr>
          <w:p>
            <w:r/>
            <w:r>
              <w:rPr>
                <w:rFonts w:ascii="Times New Roman" w:hAnsi="Times New Roman" w:eastAsia="宋体"/>
                <w:sz w:val="20"/>
              </w:rPr>
              <w:t>CRC+重传</w:t>
            </w:r>
          </w:p>
        </w:tc>
        <w:tc>
          <w:tcPr>
            <w:tcW w:type="dxa" w:w="2161"/>
          </w:tcPr>
          <w:p>
            <w:r/>
            <w:r>
              <w:rPr>
                <w:rFonts w:ascii="Times New Roman" w:hAnsi="Times New Roman" w:eastAsia="宋体"/>
                <w:sz w:val="20"/>
              </w:rPr>
              <w:t>无</w:t>
            </w:r>
          </w:p>
        </w:tc>
        <w:tc>
          <w:tcPr>
            <w:tcW w:type="dxa" w:w="2161"/>
          </w:tcPr>
          <w:p>
            <w:r/>
            <w:r>
              <w:rPr>
                <w:rFonts w:ascii="Times New Roman" w:hAnsi="Times New Roman" w:eastAsia="宋体"/>
                <w:sz w:val="20"/>
              </w:rPr>
              <w:t>CAN</w:t>
            </w:r>
          </w:p>
        </w:tc>
      </w:tr>
      <w:tr>
        <w:tc>
          <w:tcPr>
            <w:tcW w:type="dxa" w:w="2161"/>
          </w:tcPr>
          <w:p>
            <w:r/>
            <w:r>
              <w:rPr>
                <w:rFonts w:ascii="Times New Roman" w:hAnsi="Times New Roman" w:eastAsia="宋体"/>
                <w:sz w:val="20"/>
              </w:rPr>
              <w:t>抗干扰能力</w:t>
            </w:r>
          </w:p>
        </w:tc>
        <w:tc>
          <w:tcPr>
            <w:tcW w:type="dxa" w:w="2161"/>
          </w:tcPr>
          <w:p>
            <w:r/>
            <w:r>
              <w:rPr>
                <w:rFonts w:ascii="Times New Roman" w:hAnsi="Times New Roman" w:eastAsia="宋体"/>
                <w:sz w:val="20"/>
              </w:rPr>
              <w:t>差分信号，强</w:t>
            </w:r>
          </w:p>
        </w:tc>
        <w:tc>
          <w:tcPr>
            <w:tcW w:type="dxa" w:w="2161"/>
          </w:tcPr>
          <w:p>
            <w:r/>
            <w:r>
              <w:rPr>
                <w:rFonts w:ascii="Times New Roman" w:hAnsi="Times New Roman" w:eastAsia="宋体"/>
                <w:sz w:val="20"/>
              </w:rPr>
              <w:t>单端，弱</w:t>
            </w:r>
          </w:p>
        </w:tc>
        <w:tc>
          <w:tcPr>
            <w:tcW w:type="dxa" w:w="2161"/>
          </w:tcPr>
          <w:p>
            <w:r/>
            <w:r>
              <w:rPr>
                <w:rFonts w:ascii="Times New Roman" w:hAnsi="Times New Roman" w:eastAsia="宋体"/>
                <w:sz w:val="20"/>
              </w:rPr>
              <w:t>CAN</w:t>
            </w:r>
          </w:p>
        </w:tc>
      </w:tr>
    </w:tbl>
    <w:p>
      <w:pPr>
        <w:jc w:val="center"/>
      </w:pPr>
      <w:r>
        <w:rPr>
          <w:rFonts w:ascii="Times New Roman" w:hAnsi="Times New Roman" w:eastAsia="黑体"/>
          <w:b/>
          <w:sz w:val="20"/>
        </w:rPr>
        <w:t>表7-3  CAN vs UART通信方式对比</w:t>
      </w:r>
    </w:p>
    <w:p/>
    <w:p>
      <w:pPr>
        <w:ind w:firstLine="480"/>
      </w:pPr>
      <w:r>
        <w:rPr>
          <w:rFonts w:ascii="Times New Roman" w:hAnsi="Times New Roman" w:eastAsia="宋体"/>
          <w:b w:val="0"/>
          <w:sz w:val="24"/>
        </w:rPr>
        <w:t>预期结论：CAN总线在延迟、可靠性和线束精简方面全面优于UART，单帧延迟降低一个数量级，线束从10根减至2根，且具备工业级错误检测机制。</w:t>
      </w:r>
    </w:p>
    <w:p>
      <w:pPr>
        <w:pStyle w:val="Heading3"/>
      </w:pPr>
      <w:r>
        <w:rPr>
          <w:rFonts w:ascii="Times New Roman" w:hAnsi="Times New Roman" w:eastAsia="黑体"/>
        </w:rPr>
        <w:t>7.3.4 控制方式对比：力闭环PID vs 纯位置开环</w:t>
      </w:r>
    </w:p>
    <w:p>
      <w:pPr>
        <w:ind w:firstLine="480"/>
      </w:pPr>
      <w:r>
        <w:rPr>
          <w:rFonts w:ascii="Times New Roman" w:hAnsi="Times New Roman" w:eastAsia="宋体"/>
          <w:b w:val="0"/>
          <w:sz w:val="24"/>
        </w:rPr>
        <w:t>实验目的是验证力闭环控制对抓取成功率和物体保护能力的提升效果。准备3种刚度不同的测试物体（纸杯、网球、金属件），分别使用力闭环PID和纯位置开环进行抓取测试，每种物体测试20次。</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shd w:fill="1F4E79" w:val="clear"/>
          </w:tcPr>
          <w:p>
            <w:r/>
            <w:r>
              <w:rPr>
                <w:rFonts w:ascii="Times New Roman" w:hAnsi="Times New Roman" w:eastAsia="黑体"/>
                <w:b/>
                <w:color w:val="FFFFFF"/>
                <w:sz w:val="20"/>
              </w:rPr>
              <w:t>指标</w:t>
            </w:r>
          </w:p>
        </w:tc>
        <w:tc>
          <w:tcPr>
            <w:tcW w:type="dxa" w:w="2161"/>
            <w:shd w:fill="1F4E79" w:val="clear"/>
          </w:tcPr>
          <w:p>
            <w:r/>
            <w:r>
              <w:rPr>
                <w:rFonts w:ascii="Times New Roman" w:hAnsi="Times New Roman" w:eastAsia="黑体"/>
                <w:b/>
                <w:color w:val="FFFFFF"/>
                <w:sz w:val="20"/>
              </w:rPr>
              <w:t>力闭环PID</w:t>
            </w:r>
          </w:p>
        </w:tc>
        <w:tc>
          <w:tcPr>
            <w:tcW w:type="dxa" w:w="2161"/>
            <w:shd w:fill="1F4E79" w:val="clear"/>
          </w:tcPr>
          <w:p>
            <w:r/>
            <w:r>
              <w:rPr>
                <w:rFonts w:ascii="Times New Roman" w:hAnsi="Times New Roman" w:eastAsia="黑体"/>
                <w:b/>
                <w:color w:val="FFFFFF"/>
                <w:sz w:val="20"/>
              </w:rPr>
              <w:t>纯位置开环</w:t>
            </w:r>
          </w:p>
        </w:tc>
        <w:tc>
          <w:tcPr>
            <w:tcW w:type="dxa" w:w="2161"/>
            <w:shd w:fill="1F4E79" w:val="clear"/>
          </w:tcPr>
          <w:p>
            <w:r/>
            <w:r>
              <w:rPr>
                <w:rFonts w:ascii="Times New Roman" w:hAnsi="Times New Roman" w:eastAsia="黑体"/>
                <w:b/>
                <w:color w:val="FFFFFF"/>
                <w:sz w:val="20"/>
              </w:rPr>
              <w:t>差异分析</w:t>
            </w:r>
          </w:p>
        </w:tc>
      </w:tr>
      <w:tr>
        <w:tc>
          <w:tcPr>
            <w:tcW w:type="dxa" w:w="2161"/>
          </w:tcPr>
          <w:p>
            <w:r/>
            <w:r>
              <w:rPr>
                <w:rFonts w:ascii="Times New Roman" w:hAnsi="Times New Roman" w:eastAsia="宋体"/>
                <w:sz w:val="20"/>
              </w:rPr>
              <w:t>纸杯抓取成功率</w:t>
            </w:r>
          </w:p>
        </w:tc>
        <w:tc>
          <w:tcPr>
            <w:tcW w:type="dxa" w:w="2161"/>
          </w:tcPr>
          <w:p>
            <w:r/>
            <w:r>
              <w:rPr>
                <w:rFonts w:ascii="Times New Roman" w:hAnsi="Times New Roman" w:eastAsia="宋体"/>
                <w:sz w:val="20"/>
              </w:rPr>
              <w:t>待测</w:t>
            </w:r>
          </w:p>
        </w:tc>
        <w:tc>
          <w:tcPr>
            <w:tcW w:type="dxa" w:w="2161"/>
          </w:tcPr>
          <w:p>
            <w:r/>
            <w:r>
              <w:rPr>
                <w:rFonts w:ascii="Times New Roman" w:hAnsi="Times New Roman" w:eastAsia="宋体"/>
                <w:sz w:val="20"/>
              </w:rPr>
              <w:t>待测</w:t>
            </w:r>
          </w:p>
        </w:tc>
        <w:tc>
          <w:tcPr>
            <w:tcW w:type="dxa" w:w="2161"/>
          </w:tcPr>
          <w:p>
            <w:r/>
            <w:r>
              <w:rPr>
                <w:rFonts w:ascii="Times New Roman" w:hAnsi="Times New Roman" w:eastAsia="宋体"/>
                <w:sz w:val="20"/>
              </w:rPr>
              <w:t>-</w:t>
            </w:r>
          </w:p>
        </w:tc>
      </w:tr>
      <w:tr>
        <w:tc>
          <w:tcPr>
            <w:tcW w:type="dxa" w:w="2161"/>
          </w:tcPr>
          <w:p>
            <w:r/>
            <w:r>
              <w:rPr>
                <w:rFonts w:ascii="Times New Roman" w:hAnsi="Times New Roman" w:eastAsia="宋体"/>
                <w:sz w:val="20"/>
              </w:rPr>
              <w:t>纸杯损坏率</w:t>
            </w:r>
          </w:p>
        </w:tc>
        <w:tc>
          <w:tcPr>
            <w:tcW w:type="dxa" w:w="2161"/>
          </w:tcPr>
          <w:p>
            <w:r/>
            <w:r>
              <w:rPr>
                <w:rFonts w:ascii="Times New Roman" w:hAnsi="Times New Roman" w:eastAsia="宋体"/>
                <w:sz w:val="20"/>
              </w:rPr>
              <w:t>待测</w:t>
            </w:r>
          </w:p>
        </w:tc>
        <w:tc>
          <w:tcPr>
            <w:tcW w:type="dxa" w:w="2161"/>
          </w:tcPr>
          <w:p>
            <w:r/>
            <w:r>
              <w:rPr>
                <w:rFonts w:ascii="Times New Roman" w:hAnsi="Times New Roman" w:eastAsia="宋体"/>
                <w:sz w:val="20"/>
              </w:rPr>
              <w:t>待测</w:t>
            </w:r>
          </w:p>
        </w:tc>
        <w:tc>
          <w:tcPr>
            <w:tcW w:type="dxa" w:w="2161"/>
          </w:tcPr>
          <w:p>
            <w:r/>
            <w:r>
              <w:rPr>
                <w:rFonts w:ascii="Times New Roman" w:hAnsi="Times New Roman" w:eastAsia="宋体"/>
                <w:sz w:val="20"/>
              </w:rPr>
              <w:t>-</w:t>
            </w:r>
          </w:p>
        </w:tc>
      </w:tr>
      <w:tr>
        <w:tc>
          <w:tcPr>
            <w:tcW w:type="dxa" w:w="2161"/>
          </w:tcPr>
          <w:p>
            <w:r/>
            <w:r>
              <w:rPr>
                <w:rFonts w:ascii="Times New Roman" w:hAnsi="Times New Roman" w:eastAsia="宋体"/>
                <w:sz w:val="20"/>
              </w:rPr>
              <w:t>网球抓取成功率</w:t>
            </w:r>
          </w:p>
        </w:tc>
        <w:tc>
          <w:tcPr>
            <w:tcW w:type="dxa" w:w="2161"/>
          </w:tcPr>
          <w:p>
            <w:r/>
            <w:r>
              <w:rPr>
                <w:rFonts w:ascii="Times New Roman" w:hAnsi="Times New Roman" w:eastAsia="宋体"/>
                <w:sz w:val="20"/>
              </w:rPr>
              <w:t>待测</w:t>
            </w:r>
          </w:p>
        </w:tc>
        <w:tc>
          <w:tcPr>
            <w:tcW w:type="dxa" w:w="2161"/>
          </w:tcPr>
          <w:p>
            <w:r/>
            <w:r>
              <w:rPr>
                <w:rFonts w:ascii="Times New Roman" w:hAnsi="Times New Roman" w:eastAsia="宋体"/>
                <w:sz w:val="20"/>
              </w:rPr>
              <w:t>待测</w:t>
            </w:r>
          </w:p>
        </w:tc>
        <w:tc>
          <w:tcPr>
            <w:tcW w:type="dxa" w:w="2161"/>
          </w:tcPr>
          <w:p>
            <w:r/>
            <w:r>
              <w:rPr>
                <w:rFonts w:ascii="Times New Roman" w:hAnsi="Times New Roman" w:eastAsia="宋体"/>
                <w:sz w:val="20"/>
              </w:rPr>
              <w:t>-</w:t>
            </w:r>
          </w:p>
        </w:tc>
      </w:tr>
      <w:tr>
        <w:tc>
          <w:tcPr>
            <w:tcW w:type="dxa" w:w="2161"/>
          </w:tcPr>
          <w:p>
            <w:r/>
            <w:r>
              <w:rPr>
                <w:rFonts w:ascii="Times New Roman" w:hAnsi="Times New Roman" w:eastAsia="宋体"/>
                <w:sz w:val="20"/>
              </w:rPr>
              <w:t>金属件抓取成功率</w:t>
            </w:r>
          </w:p>
        </w:tc>
        <w:tc>
          <w:tcPr>
            <w:tcW w:type="dxa" w:w="2161"/>
          </w:tcPr>
          <w:p>
            <w:r/>
            <w:r>
              <w:rPr>
                <w:rFonts w:ascii="Times New Roman" w:hAnsi="Times New Roman" w:eastAsia="宋体"/>
                <w:sz w:val="20"/>
              </w:rPr>
              <w:t>待测</w:t>
            </w:r>
          </w:p>
        </w:tc>
        <w:tc>
          <w:tcPr>
            <w:tcW w:type="dxa" w:w="2161"/>
          </w:tcPr>
          <w:p>
            <w:r/>
            <w:r>
              <w:rPr>
                <w:rFonts w:ascii="Times New Roman" w:hAnsi="Times New Roman" w:eastAsia="宋体"/>
                <w:sz w:val="20"/>
              </w:rPr>
              <w:t>待测</w:t>
            </w:r>
          </w:p>
        </w:tc>
        <w:tc>
          <w:tcPr>
            <w:tcW w:type="dxa" w:w="2161"/>
          </w:tcPr>
          <w:p>
            <w:r/>
            <w:r>
              <w:rPr>
                <w:rFonts w:ascii="Times New Roman" w:hAnsi="Times New Roman" w:eastAsia="宋体"/>
                <w:sz w:val="20"/>
              </w:rPr>
              <w:t>-</w:t>
            </w:r>
          </w:p>
        </w:tc>
      </w:tr>
      <w:tr>
        <w:tc>
          <w:tcPr>
            <w:tcW w:type="dxa" w:w="2161"/>
          </w:tcPr>
          <w:p>
            <w:r/>
            <w:r>
              <w:rPr>
                <w:rFonts w:ascii="Times New Roman" w:hAnsi="Times New Roman" w:eastAsia="宋体"/>
                <w:sz w:val="20"/>
              </w:rPr>
              <w:t>力控制精度</w:t>
            </w:r>
          </w:p>
        </w:tc>
        <w:tc>
          <w:tcPr>
            <w:tcW w:type="dxa" w:w="2161"/>
          </w:tcPr>
          <w:p>
            <w:r/>
            <w:r>
              <w:rPr>
                <w:rFonts w:ascii="Times New Roman" w:hAnsi="Times New Roman" w:eastAsia="宋体"/>
                <w:sz w:val="20"/>
              </w:rPr>
              <w:t>待测</w:t>
            </w:r>
          </w:p>
        </w:tc>
        <w:tc>
          <w:tcPr>
            <w:tcW w:type="dxa" w:w="2161"/>
          </w:tcPr>
          <w:p>
            <w:r/>
            <w:r>
              <w:rPr>
                <w:rFonts w:ascii="Times New Roman" w:hAnsi="Times New Roman" w:eastAsia="宋体"/>
                <w:sz w:val="20"/>
              </w:rPr>
              <w:t>N/A</w:t>
            </w:r>
          </w:p>
        </w:tc>
        <w:tc>
          <w:tcPr>
            <w:tcW w:type="dxa" w:w="2161"/>
          </w:tcPr>
          <w:p>
            <w:r/>
            <w:r>
              <w:rPr>
                <w:rFonts w:ascii="Times New Roman" w:hAnsi="Times New Roman" w:eastAsia="宋体"/>
                <w:sz w:val="20"/>
              </w:rPr>
              <w:t>-</w:t>
            </w:r>
          </w:p>
        </w:tc>
      </w:tr>
    </w:tbl>
    <w:p>
      <w:pPr>
        <w:jc w:val="center"/>
      </w:pPr>
      <w:r>
        <w:rPr>
          <w:rFonts w:ascii="Times New Roman" w:hAnsi="Times New Roman" w:eastAsia="黑体"/>
          <w:b/>
          <w:sz w:val="20"/>
        </w:rPr>
        <w:t>表7-4  力闭环PID vs 纯位置开环对比</w:t>
      </w:r>
    </w:p>
    <w:p/>
    <w:p>
      <w:pPr>
        <w:ind w:firstLine="480"/>
      </w:pPr>
      <w:r>
        <w:rPr>
          <w:rFonts w:ascii="Times New Roman" w:hAnsi="Times New Roman" w:eastAsia="宋体"/>
          <w:b w:val="0"/>
          <w:sz w:val="24"/>
        </w:rPr>
        <w:t>预期结论：力闭环PID在软物体抓取场景下优势显著，纸杯损坏率预计从开环的30%以上降至5%以下；硬物体抓取成功率也有提升，因力闭环可自动补偿位置误差。</w:t>
      </w:r>
    </w:p>
    <w:p>
      <w:pPr>
        <w:pStyle w:val="Heading3"/>
      </w:pPr>
      <w:r>
        <w:rPr>
          <w:rFonts w:ascii="Times New Roman" w:hAnsi="Times New Roman" w:eastAsia="黑体"/>
        </w:rPr>
        <w:t>7.3.5 轨迹平滑对比：EMA vs 无平滑</w:t>
      </w:r>
    </w:p>
    <w:p>
      <w:pPr>
        <w:ind w:firstLine="480"/>
      </w:pPr>
      <w:r>
        <w:rPr>
          <w:rFonts w:ascii="Times New Roman" w:hAnsi="Times New Roman" w:eastAsia="宋体"/>
          <w:b w:val="0"/>
          <w:sz w:val="24"/>
        </w:rPr>
        <w:t>实验目的是验证EMA轨迹平滑对消除视觉抖动、提升控制稳定性的作用。录制一段手部运动视频（30秒，包含快速移动和静止阶段），分别使用EMA平滑（alpha=0.3）和无平滑生成关节角度序列，分析角度抖动幅度和跟踪延迟。</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shd w:fill="1F4E79" w:val="clear"/>
          </w:tcPr>
          <w:p>
            <w:r/>
            <w:r>
              <w:rPr>
                <w:rFonts w:ascii="Times New Roman" w:hAnsi="Times New Roman" w:eastAsia="黑体"/>
                <w:b/>
                <w:color w:val="FFFFFF"/>
                <w:sz w:val="20"/>
              </w:rPr>
              <w:t>指标</w:t>
            </w:r>
          </w:p>
        </w:tc>
        <w:tc>
          <w:tcPr>
            <w:tcW w:type="dxa" w:w="2161"/>
            <w:shd w:fill="1F4E79" w:val="clear"/>
          </w:tcPr>
          <w:p>
            <w:r/>
            <w:r>
              <w:rPr>
                <w:rFonts w:ascii="Times New Roman" w:hAnsi="Times New Roman" w:eastAsia="黑体"/>
                <w:b/>
                <w:color w:val="FFFFFF"/>
                <w:sz w:val="20"/>
              </w:rPr>
              <w:t>EMA (alpha=0.3)</w:t>
            </w:r>
          </w:p>
        </w:tc>
        <w:tc>
          <w:tcPr>
            <w:tcW w:type="dxa" w:w="2161"/>
            <w:shd w:fill="1F4E79" w:val="clear"/>
          </w:tcPr>
          <w:p>
            <w:r/>
            <w:r>
              <w:rPr>
                <w:rFonts w:ascii="Times New Roman" w:hAnsi="Times New Roman" w:eastAsia="黑体"/>
                <w:b/>
                <w:color w:val="FFFFFF"/>
                <w:sz w:val="20"/>
              </w:rPr>
              <w:t>无平滑</w:t>
            </w:r>
          </w:p>
        </w:tc>
        <w:tc>
          <w:tcPr>
            <w:tcW w:type="dxa" w:w="2161"/>
            <w:shd w:fill="1F4E79" w:val="clear"/>
          </w:tcPr>
          <w:p>
            <w:r/>
            <w:r>
              <w:rPr>
                <w:rFonts w:ascii="Times New Roman" w:hAnsi="Times New Roman" w:eastAsia="黑体"/>
                <w:b/>
                <w:color w:val="FFFFFF"/>
                <w:sz w:val="20"/>
              </w:rPr>
              <w:t>差异分析</w:t>
            </w:r>
          </w:p>
        </w:tc>
      </w:tr>
      <w:tr>
        <w:tc>
          <w:tcPr>
            <w:tcW w:type="dxa" w:w="2161"/>
          </w:tcPr>
          <w:p>
            <w:r/>
            <w:r>
              <w:rPr>
                <w:rFonts w:ascii="Times New Roman" w:hAnsi="Times New Roman" w:eastAsia="宋体"/>
                <w:sz w:val="20"/>
              </w:rPr>
              <w:t>角度抖动幅度</w:t>
            </w:r>
          </w:p>
        </w:tc>
        <w:tc>
          <w:tcPr>
            <w:tcW w:type="dxa" w:w="2161"/>
          </w:tcPr>
          <w:p>
            <w:r/>
            <w:r>
              <w:rPr>
                <w:rFonts w:ascii="Times New Roman" w:hAnsi="Times New Roman" w:eastAsia="宋体"/>
                <w:sz w:val="20"/>
              </w:rPr>
              <w:t>待测</w:t>
            </w:r>
          </w:p>
        </w:tc>
        <w:tc>
          <w:tcPr>
            <w:tcW w:type="dxa" w:w="2161"/>
          </w:tcPr>
          <w:p>
            <w:r/>
            <w:r>
              <w:rPr>
                <w:rFonts w:ascii="Times New Roman" w:hAnsi="Times New Roman" w:eastAsia="宋体"/>
                <w:sz w:val="20"/>
              </w:rPr>
              <w:t>待测</w:t>
            </w:r>
          </w:p>
        </w:tc>
        <w:tc>
          <w:tcPr>
            <w:tcW w:type="dxa" w:w="2161"/>
          </w:tcPr>
          <w:p>
            <w:r/>
            <w:r>
              <w:rPr>
                <w:rFonts w:ascii="Times New Roman" w:hAnsi="Times New Roman" w:eastAsia="宋体"/>
                <w:sz w:val="20"/>
              </w:rPr>
              <w:t>-</w:t>
            </w:r>
          </w:p>
        </w:tc>
      </w:tr>
      <w:tr>
        <w:tc>
          <w:tcPr>
            <w:tcW w:type="dxa" w:w="2161"/>
          </w:tcPr>
          <w:p>
            <w:r/>
            <w:r>
              <w:rPr>
                <w:rFonts w:ascii="Times New Roman" w:hAnsi="Times New Roman" w:eastAsia="宋体"/>
                <w:sz w:val="20"/>
              </w:rPr>
              <w:t>跟踪延迟</w:t>
            </w:r>
          </w:p>
        </w:tc>
        <w:tc>
          <w:tcPr>
            <w:tcW w:type="dxa" w:w="2161"/>
          </w:tcPr>
          <w:p>
            <w:r/>
            <w:r>
              <w:rPr>
                <w:rFonts w:ascii="Times New Roman" w:hAnsi="Times New Roman" w:eastAsia="宋体"/>
                <w:sz w:val="20"/>
              </w:rPr>
              <w:t>~2帧</w:t>
            </w:r>
          </w:p>
        </w:tc>
        <w:tc>
          <w:tcPr>
            <w:tcW w:type="dxa" w:w="2161"/>
          </w:tcPr>
          <w:p>
            <w:r/>
            <w:r>
              <w:rPr>
                <w:rFonts w:ascii="Times New Roman" w:hAnsi="Times New Roman" w:eastAsia="宋体"/>
                <w:sz w:val="20"/>
              </w:rPr>
              <w:t>0帧</w:t>
            </w:r>
          </w:p>
        </w:tc>
        <w:tc>
          <w:tcPr>
            <w:tcW w:type="dxa" w:w="2161"/>
          </w:tcPr>
          <w:p>
            <w:r/>
            <w:r>
              <w:rPr>
                <w:rFonts w:ascii="Times New Roman" w:hAnsi="Times New Roman" w:eastAsia="宋体"/>
                <w:sz w:val="20"/>
              </w:rPr>
              <w:t>EMA引入少量延迟</w:t>
            </w:r>
          </w:p>
        </w:tc>
      </w:tr>
      <w:tr>
        <w:tc>
          <w:tcPr>
            <w:tcW w:type="dxa" w:w="2161"/>
          </w:tcPr>
          <w:p>
            <w:r/>
            <w:r>
              <w:rPr>
                <w:rFonts w:ascii="Times New Roman" w:hAnsi="Times New Roman" w:eastAsia="宋体"/>
                <w:sz w:val="20"/>
              </w:rPr>
              <w:t>抓取稳定性评分</w:t>
            </w:r>
          </w:p>
        </w:tc>
        <w:tc>
          <w:tcPr>
            <w:tcW w:type="dxa" w:w="2161"/>
          </w:tcPr>
          <w:p>
            <w:r/>
            <w:r>
              <w:rPr>
                <w:rFonts w:ascii="Times New Roman" w:hAnsi="Times New Roman" w:eastAsia="宋体"/>
                <w:sz w:val="20"/>
              </w:rPr>
              <w:t>待测</w:t>
            </w:r>
          </w:p>
        </w:tc>
        <w:tc>
          <w:tcPr>
            <w:tcW w:type="dxa" w:w="2161"/>
          </w:tcPr>
          <w:p>
            <w:r/>
            <w:r>
              <w:rPr>
                <w:rFonts w:ascii="Times New Roman" w:hAnsi="Times New Roman" w:eastAsia="宋体"/>
                <w:sz w:val="20"/>
              </w:rPr>
              <w:t>待测</w:t>
            </w:r>
          </w:p>
        </w:tc>
        <w:tc>
          <w:tcPr>
            <w:tcW w:type="dxa" w:w="2161"/>
          </w:tcPr>
          <w:p>
            <w:r/>
            <w:r>
              <w:rPr>
                <w:rFonts w:ascii="Times New Roman" w:hAnsi="Times New Roman" w:eastAsia="宋体"/>
                <w:sz w:val="20"/>
              </w:rPr>
              <w:t>-</w:t>
            </w:r>
          </w:p>
        </w:tc>
      </w:tr>
    </w:tbl>
    <w:p>
      <w:pPr>
        <w:jc w:val="center"/>
      </w:pPr>
      <w:r>
        <w:rPr>
          <w:rFonts w:ascii="Times New Roman" w:hAnsi="Times New Roman" w:eastAsia="黑体"/>
          <w:b/>
          <w:sz w:val="20"/>
        </w:rPr>
        <w:t>表7-5  EMA轨迹平滑 vs 无平滑对比</w:t>
      </w:r>
    </w:p>
    <w:p/>
    <w:p>
      <w:pPr>
        <w:ind w:firstLine="480"/>
      </w:pPr>
      <w:r>
        <w:rPr>
          <w:rFonts w:ascii="Times New Roman" w:hAnsi="Times New Roman" w:eastAsia="宋体"/>
          <w:b w:val="0"/>
          <w:sz w:val="24"/>
        </w:rPr>
        <w:t>预期结论：EMA平滑可将角度抖动幅度降低60%以上，虽然引入约2帧延迟（约66ms@30FPS），但在实际操控中不会产生明显感知，整体操控体验显著提升。</w:t>
      </w:r>
    </w:p>
    <w:p>
      <w:pPr>
        <w:pStyle w:val="Heading2"/>
      </w:pPr>
      <w:r>
        <w:rPr>
          <w:rFonts w:ascii="Times New Roman" w:hAnsi="Times New Roman" w:eastAsia="黑体"/>
        </w:rPr>
        <w:t>7.4 消融实验</w:t>
      </w:r>
    </w:p>
    <w:p>
      <w:pPr>
        <w:ind w:firstLine="480"/>
      </w:pPr>
      <w:r>
        <w:rPr>
          <w:rFonts w:ascii="Times New Roman" w:hAnsi="Times New Roman" w:eastAsia="宋体"/>
          <w:b w:val="0"/>
          <w:sz w:val="24"/>
        </w:rPr>
        <w:t>消融实验的目的是通过逐步移除系统核心模块，评估各模块对整体抓取性能的贡献度。实验配置如下表所示，共5种配置，每种配置重复3轮实验，每轮30次抓取（球、圆柱、立方体各10个）。</w:t>
      </w:r>
    </w:p>
    <w:tbl>
      <w:tblPr>
        <w:tblStyle w:val="TableGrid"/>
        <w:tblW w:type="auto" w:w="0"/>
        <w:jc w:val="center"/>
        <w:tblLook w:firstColumn="1" w:firstRow="1" w:lastColumn="0" w:lastRow="0" w:noHBand="0" w:noVBand="1" w:val="04A0"/>
      </w:tblPr>
      <w:tblGrid>
        <w:gridCol w:w="1441"/>
        <w:gridCol w:w="1441"/>
        <w:gridCol w:w="1441"/>
        <w:gridCol w:w="1441"/>
        <w:gridCol w:w="1441"/>
        <w:gridCol w:w="1441"/>
      </w:tblGrid>
      <w:tr>
        <w:tc>
          <w:tcPr>
            <w:tcW w:type="dxa" w:w="1441"/>
            <w:shd w:fill="1F4E79" w:val="clear"/>
          </w:tcPr>
          <w:p>
            <w:r/>
            <w:r>
              <w:rPr>
                <w:rFonts w:ascii="Times New Roman" w:hAnsi="Times New Roman" w:eastAsia="黑体"/>
                <w:b/>
                <w:color w:val="FFFFFF"/>
                <w:sz w:val="20"/>
              </w:rPr>
              <w:t>配置</w:t>
            </w:r>
          </w:p>
        </w:tc>
        <w:tc>
          <w:tcPr>
            <w:tcW w:type="dxa" w:w="1441"/>
            <w:shd w:fill="1F4E79" w:val="clear"/>
          </w:tcPr>
          <w:p>
            <w:r/>
            <w:r>
              <w:rPr>
                <w:rFonts w:ascii="Times New Roman" w:hAnsi="Times New Roman" w:eastAsia="黑体"/>
                <w:b/>
                <w:color w:val="FFFFFF"/>
                <w:sz w:val="20"/>
              </w:rPr>
              <w:t>视觉</w:t>
            </w:r>
          </w:p>
        </w:tc>
        <w:tc>
          <w:tcPr>
            <w:tcW w:type="dxa" w:w="1441"/>
            <w:shd w:fill="1F4E79" w:val="clear"/>
          </w:tcPr>
          <w:p>
            <w:r/>
            <w:r>
              <w:rPr>
                <w:rFonts w:ascii="Times New Roman" w:hAnsi="Times New Roman" w:eastAsia="黑体"/>
                <w:b/>
                <w:color w:val="FFFFFF"/>
                <w:sz w:val="20"/>
              </w:rPr>
              <w:t>CAN通信</w:t>
            </w:r>
          </w:p>
        </w:tc>
        <w:tc>
          <w:tcPr>
            <w:tcW w:type="dxa" w:w="1441"/>
            <w:shd w:fill="1F4E79" w:val="clear"/>
          </w:tcPr>
          <w:p>
            <w:r/>
            <w:r>
              <w:rPr>
                <w:rFonts w:ascii="Times New Roman" w:hAnsi="Times New Roman" w:eastAsia="黑体"/>
                <w:b/>
                <w:color w:val="FFFFFF"/>
                <w:sz w:val="20"/>
              </w:rPr>
              <w:t>力闭环</w:t>
            </w:r>
          </w:p>
        </w:tc>
        <w:tc>
          <w:tcPr>
            <w:tcW w:type="dxa" w:w="1441"/>
            <w:shd w:fill="1F4E79" w:val="clear"/>
          </w:tcPr>
          <w:p>
            <w:r/>
            <w:r>
              <w:rPr>
                <w:rFonts w:ascii="Times New Roman" w:hAnsi="Times New Roman" w:eastAsia="黑体"/>
                <w:b/>
                <w:color w:val="FFFFFF"/>
                <w:sz w:val="20"/>
              </w:rPr>
              <w:t>轨迹平滑</w:t>
            </w:r>
          </w:p>
        </w:tc>
        <w:tc>
          <w:tcPr>
            <w:tcW w:type="dxa" w:w="1441"/>
            <w:shd w:fill="1F4E79" w:val="clear"/>
          </w:tcPr>
          <w:p>
            <w:r/>
            <w:r>
              <w:rPr>
                <w:rFonts w:ascii="Times New Roman" w:hAnsi="Times New Roman" w:eastAsia="黑体"/>
                <w:b/>
                <w:color w:val="FFFFFF"/>
                <w:sz w:val="20"/>
              </w:rPr>
              <w:t>预期抓取成功率</w:t>
            </w:r>
          </w:p>
        </w:tc>
      </w:tr>
      <w:tr>
        <w:tc>
          <w:tcPr>
            <w:tcW w:type="dxa" w:w="1441"/>
          </w:tcPr>
          <w:p>
            <w:r/>
            <w:r>
              <w:rPr>
                <w:rFonts w:ascii="Times New Roman" w:hAnsi="Times New Roman" w:eastAsia="宋体"/>
                <w:sz w:val="20"/>
              </w:rPr>
              <w:t>A (完整系统)</w:t>
            </w:r>
          </w:p>
        </w:tc>
        <w:tc>
          <w:tcPr>
            <w:tcW w:type="dxa" w:w="1441"/>
          </w:tcPr>
          <w:p>
            <w:r/>
            <w:r>
              <w:rPr>
                <w:rFonts w:ascii="Times New Roman" w:hAnsi="Times New Roman" w:eastAsia="宋体"/>
                <w:sz w:val="20"/>
              </w:rPr>
              <w:t>Y</w:t>
            </w:r>
          </w:p>
        </w:tc>
        <w:tc>
          <w:tcPr>
            <w:tcW w:type="dxa" w:w="1441"/>
          </w:tcPr>
          <w:p>
            <w:r/>
            <w:r>
              <w:rPr>
                <w:rFonts w:ascii="Times New Roman" w:hAnsi="Times New Roman" w:eastAsia="宋体"/>
                <w:sz w:val="20"/>
              </w:rPr>
              <w:t>Y</w:t>
            </w:r>
          </w:p>
        </w:tc>
        <w:tc>
          <w:tcPr>
            <w:tcW w:type="dxa" w:w="1441"/>
          </w:tcPr>
          <w:p>
            <w:r/>
            <w:r>
              <w:rPr>
                <w:rFonts w:ascii="Times New Roman" w:hAnsi="Times New Roman" w:eastAsia="宋体"/>
                <w:sz w:val="20"/>
              </w:rPr>
              <w:t>Y</w:t>
            </w:r>
          </w:p>
        </w:tc>
        <w:tc>
          <w:tcPr>
            <w:tcW w:type="dxa" w:w="1441"/>
          </w:tcPr>
          <w:p>
            <w:r/>
            <w:r>
              <w:rPr>
                <w:rFonts w:ascii="Times New Roman" w:hAnsi="Times New Roman" w:eastAsia="宋体"/>
                <w:sz w:val="20"/>
              </w:rPr>
              <w:t>Y</w:t>
            </w:r>
          </w:p>
        </w:tc>
        <w:tc>
          <w:tcPr>
            <w:tcW w:type="dxa" w:w="1441"/>
          </w:tcPr>
          <w:p>
            <w:r/>
            <w:r>
              <w:rPr>
                <w:rFonts w:ascii="Times New Roman" w:hAnsi="Times New Roman" w:eastAsia="宋体"/>
                <w:sz w:val="20"/>
              </w:rPr>
              <w:t>~92%</w:t>
            </w:r>
          </w:p>
        </w:tc>
      </w:tr>
      <w:tr>
        <w:tc>
          <w:tcPr>
            <w:tcW w:type="dxa" w:w="1441"/>
          </w:tcPr>
          <w:p>
            <w:r/>
            <w:r>
              <w:rPr>
                <w:rFonts w:ascii="Times New Roman" w:hAnsi="Times New Roman" w:eastAsia="宋体"/>
                <w:sz w:val="20"/>
              </w:rPr>
              <w:t>B (去力闭环)</w:t>
            </w:r>
          </w:p>
        </w:tc>
        <w:tc>
          <w:tcPr>
            <w:tcW w:type="dxa" w:w="1441"/>
          </w:tcPr>
          <w:p>
            <w:r/>
            <w:r>
              <w:rPr>
                <w:rFonts w:ascii="Times New Roman" w:hAnsi="Times New Roman" w:eastAsia="宋体"/>
                <w:sz w:val="20"/>
              </w:rPr>
              <w:t>Y</w:t>
            </w:r>
          </w:p>
        </w:tc>
        <w:tc>
          <w:tcPr>
            <w:tcW w:type="dxa" w:w="1441"/>
          </w:tcPr>
          <w:p>
            <w:r/>
            <w:r>
              <w:rPr>
                <w:rFonts w:ascii="Times New Roman" w:hAnsi="Times New Roman" w:eastAsia="宋体"/>
                <w:sz w:val="20"/>
              </w:rPr>
              <w:t>Y</w:t>
            </w:r>
          </w:p>
        </w:tc>
        <w:tc>
          <w:tcPr>
            <w:tcW w:type="dxa" w:w="1441"/>
          </w:tcPr>
          <w:p>
            <w:r/>
            <w:r>
              <w:rPr>
                <w:rFonts w:ascii="Times New Roman" w:hAnsi="Times New Roman" w:eastAsia="宋体"/>
                <w:sz w:val="20"/>
              </w:rPr>
              <w:t>N</w:t>
            </w:r>
          </w:p>
        </w:tc>
        <w:tc>
          <w:tcPr>
            <w:tcW w:type="dxa" w:w="1441"/>
          </w:tcPr>
          <w:p>
            <w:r/>
            <w:r>
              <w:rPr>
                <w:rFonts w:ascii="Times New Roman" w:hAnsi="Times New Roman" w:eastAsia="宋体"/>
                <w:sz w:val="20"/>
              </w:rPr>
              <w:t>Y</w:t>
            </w:r>
          </w:p>
        </w:tc>
        <w:tc>
          <w:tcPr>
            <w:tcW w:type="dxa" w:w="1441"/>
          </w:tcPr>
          <w:p>
            <w:r/>
            <w:r>
              <w:rPr>
                <w:rFonts w:ascii="Times New Roman" w:hAnsi="Times New Roman" w:eastAsia="宋体"/>
                <w:sz w:val="20"/>
              </w:rPr>
              <w:t>~75%</w:t>
            </w:r>
          </w:p>
        </w:tc>
      </w:tr>
      <w:tr>
        <w:tc>
          <w:tcPr>
            <w:tcW w:type="dxa" w:w="1441"/>
          </w:tcPr>
          <w:p>
            <w:r/>
            <w:r>
              <w:rPr>
                <w:rFonts w:ascii="Times New Roman" w:hAnsi="Times New Roman" w:eastAsia="宋体"/>
                <w:sz w:val="20"/>
              </w:rPr>
              <w:t>C (去轨迹平滑)</w:t>
            </w:r>
          </w:p>
        </w:tc>
        <w:tc>
          <w:tcPr>
            <w:tcW w:type="dxa" w:w="1441"/>
          </w:tcPr>
          <w:p>
            <w:r/>
            <w:r>
              <w:rPr>
                <w:rFonts w:ascii="Times New Roman" w:hAnsi="Times New Roman" w:eastAsia="宋体"/>
                <w:sz w:val="20"/>
              </w:rPr>
              <w:t>Y</w:t>
            </w:r>
          </w:p>
        </w:tc>
        <w:tc>
          <w:tcPr>
            <w:tcW w:type="dxa" w:w="1441"/>
          </w:tcPr>
          <w:p>
            <w:r/>
            <w:r>
              <w:rPr>
                <w:rFonts w:ascii="Times New Roman" w:hAnsi="Times New Roman" w:eastAsia="宋体"/>
                <w:sz w:val="20"/>
              </w:rPr>
              <w:t>Y</w:t>
            </w:r>
          </w:p>
        </w:tc>
        <w:tc>
          <w:tcPr>
            <w:tcW w:type="dxa" w:w="1441"/>
          </w:tcPr>
          <w:p>
            <w:r/>
            <w:r>
              <w:rPr>
                <w:rFonts w:ascii="Times New Roman" w:hAnsi="Times New Roman" w:eastAsia="宋体"/>
                <w:sz w:val="20"/>
              </w:rPr>
              <w:t>Y</w:t>
            </w:r>
          </w:p>
        </w:tc>
        <w:tc>
          <w:tcPr>
            <w:tcW w:type="dxa" w:w="1441"/>
          </w:tcPr>
          <w:p>
            <w:r/>
            <w:r>
              <w:rPr>
                <w:rFonts w:ascii="Times New Roman" w:hAnsi="Times New Roman" w:eastAsia="宋体"/>
                <w:sz w:val="20"/>
              </w:rPr>
              <w:t>N</w:t>
            </w:r>
          </w:p>
        </w:tc>
        <w:tc>
          <w:tcPr>
            <w:tcW w:type="dxa" w:w="1441"/>
          </w:tcPr>
          <w:p>
            <w:r/>
            <w:r>
              <w:rPr>
                <w:rFonts w:ascii="Times New Roman" w:hAnsi="Times New Roman" w:eastAsia="宋体"/>
                <w:sz w:val="20"/>
              </w:rPr>
              <w:t>~85%</w:t>
            </w:r>
          </w:p>
        </w:tc>
      </w:tr>
      <w:tr>
        <w:tc>
          <w:tcPr>
            <w:tcW w:type="dxa" w:w="1441"/>
          </w:tcPr>
          <w:p>
            <w:r/>
            <w:r>
              <w:rPr>
                <w:rFonts w:ascii="Times New Roman" w:hAnsi="Times New Roman" w:eastAsia="宋体"/>
                <w:sz w:val="20"/>
              </w:rPr>
              <w:t>D (UART替代CAN)</w:t>
            </w:r>
          </w:p>
        </w:tc>
        <w:tc>
          <w:tcPr>
            <w:tcW w:type="dxa" w:w="1441"/>
          </w:tcPr>
          <w:p>
            <w:r/>
            <w:r>
              <w:rPr>
                <w:rFonts w:ascii="Times New Roman" w:hAnsi="Times New Roman" w:eastAsia="宋体"/>
                <w:sz w:val="20"/>
              </w:rPr>
              <w:t>Y</w:t>
            </w:r>
          </w:p>
        </w:tc>
        <w:tc>
          <w:tcPr>
            <w:tcW w:type="dxa" w:w="1441"/>
          </w:tcPr>
          <w:p>
            <w:r/>
            <w:r>
              <w:rPr>
                <w:rFonts w:ascii="Times New Roman" w:hAnsi="Times New Roman" w:eastAsia="宋体"/>
                <w:sz w:val="20"/>
              </w:rPr>
              <w:t>N</w:t>
            </w:r>
          </w:p>
        </w:tc>
        <w:tc>
          <w:tcPr>
            <w:tcW w:type="dxa" w:w="1441"/>
          </w:tcPr>
          <w:p>
            <w:r/>
            <w:r>
              <w:rPr>
                <w:rFonts w:ascii="Times New Roman" w:hAnsi="Times New Roman" w:eastAsia="宋体"/>
                <w:sz w:val="20"/>
              </w:rPr>
              <w:t>Y</w:t>
            </w:r>
          </w:p>
        </w:tc>
        <w:tc>
          <w:tcPr>
            <w:tcW w:type="dxa" w:w="1441"/>
          </w:tcPr>
          <w:p>
            <w:r/>
            <w:r>
              <w:rPr>
                <w:rFonts w:ascii="Times New Roman" w:hAnsi="Times New Roman" w:eastAsia="宋体"/>
                <w:sz w:val="20"/>
              </w:rPr>
              <w:t>Y</w:t>
            </w:r>
          </w:p>
        </w:tc>
        <w:tc>
          <w:tcPr>
            <w:tcW w:type="dxa" w:w="1441"/>
          </w:tcPr>
          <w:p>
            <w:r/>
            <w:r>
              <w:rPr>
                <w:rFonts w:ascii="Times New Roman" w:hAnsi="Times New Roman" w:eastAsia="宋体"/>
                <w:sz w:val="20"/>
              </w:rPr>
              <w:t>~88%</w:t>
            </w:r>
          </w:p>
        </w:tc>
      </w:tr>
      <w:tr>
        <w:tc>
          <w:tcPr>
            <w:tcW w:type="dxa" w:w="1441"/>
          </w:tcPr>
          <w:p>
            <w:r/>
            <w:r>
              <w:rPr>
                <w:rFonts w:ascii="Times New Roman" w:hAnsi="Times New Roman" w:eastAsia="宋体"/>
                <w:sz w:val="20"/>
              </w:rPr>
              <w:t>E (CPU替代NPU)</w:t>
            </w:r>
          </w:p>
        </w:tc>
        <w:tc>
          <w:tcPr>
            <w:tcW w:type="dxa" w:w="1441"/>
          </w:tcPr>
          <w:p>
            <w:r/>
            <w:r>
              <w:rPr>
                <w:rFonts w:ascii="Times New Roman" w:hAnsi="Times New Roman" w:eastAsia="宋体"/>
                <w:sz w:val="20"/>
              </w:rPr>
              <w:t>Y</w:t>
            </w:r>
          </w:p>
        </w:tc>
        <w:tc>
          <w:tcPr>
            <w:tcW w:type="dxa" w:w="1441"/>
          </w:tcPr>
          <w:p>
            <w:r/>
            <w:r>
              <w:rPr>
                <w:rFonts w:ascii="Times New Roman" w:hAnsi="Times New Roman" w:eastAsia="宋体"/>
                <w:sz w:val="20"/>
              </w:rPr>
              <w:t>Y</w:t>
            </w:r>
          </w:p>
        </w:tc>
        <w:tc>
          <w:tcPr>
            <w:tcW w:type="dxa" w:w="1441"/>
          </w:tcPr>
          <w:p>
            <w:r/>
            <w:r>
              <w:rPr>
                <w:rFonts w:ascii="Times New Roman" w:hAnsi="Times New Roman" w:eastAsia="宋体"/>
                <w:sz w:val="20"/>
              </w:rPr>
              <w:t>Y</w:t>
            </w:r>
          </w:p>
        </w:tc>
        <w:tc>
          <w:tcPr>
            <w:tcW w:type="dxa" w:w="1441"/>
          </w:tcPr>
          <w:p>
            <w:r/>
            <w:r>
              <w:rPr>
                <w:rFonts w:ascii="Times New Roman" w:hAnsi="Times New Roman" w:eastAsia="宋体"/>
                <w:sz w:val="20"/>
              </w:rPr>
              <w:t>Y</w:t>
            </w:r>
          </w:p>
        </w:tc>
        <w:tc>
          <w:tcPr>
            <w:tcW w:type="dxa" w:w="1441"/>
          </w:tcPr>
          <w:p>
            <w:r/>
            <w:r>
              <w:rPr>
                <w:rFonts w:ascii="Times New Roman" w:hAnsi="Times New Roman" w:eastAsia="宋体"/>
                <w:sz w:val="20"/>
              </w:rPr>
              <w:t>~91%</w:t>
            </w:r>
          </w:p>
        </w:tc>
      </w:tr>
    </w:tbl>
    <w:p>
      <w:pPr>
        <w:jc w:val="center"/>
      </w:pPr>
      <w:r>
        <w:rPr>
          <w:rFonts w:ascii="Times New Roman" w:hAnsi="Times New Roman" w:eastAsia="黑体"/>
          <w:b/>
          <w:sz w:val="20"/>
        </w:rPr>
        <w:t>表7-6  消融实验配置表</w:t>
      </w:r>
    </w:p>
    <w:p/>
    <w:p>
      <w:pPr>
        <w:ind w:firstLine="480"/>
      </w:pPr>
      <w:r>
        <w:rPr>
          <w:rFonts w:ascii="Times New Roman" w:hAnsi="Times New Roman" w:eastAsia="宋体"/>
          <w:b w:val="0"/>
          <w:sz w:val="24"/>
        </w:rPr>
        <w:t>评价指标包括：（1）抓取成功率——物体被抓起并保持5秒不掉落为成功；（2）平均抓取时间——从手指开始闭合到物体稳定的时间；（3）物体损坏率——软物体（纸杯）被抓破的比例；（4）系统端到端延迟——从摄像头捕获到电机响应的总延迟。</w:t>
      </w:r>
    </w:p>
    <w:tbl>
      <w:tblPr>
        <w:tblStyle w:val="TableGrid"/>
        <w:tblW w:type="auto" w:w="0"/>
        <w:jc w:val="center"/>
        <w:tblLook w:firstColumn="1" w:firstRow="1" w:lastColumn="0" w:lastRow="0" w:noHBand="0" w:noVBand="1" w:val="04A0"/>
      </w:tblPr>
      <w:tblGrid>
        <w:gridCol w:w="1729"/>
        <w:gridCol w:w="1729"/>
        <w:gridCol w:w="1729"/>
        <w:gridCol w:w="1729"/>
        <w:gridCol w:w="1729"/>
      </w:tblGrid>
      <w:tr>
        <w:tc>
          <w:tcPr>
            <w:tcW w:type="dxa" w:w="1729"/>
            <w:shd w:fill="1F4E79" w:val="clear"/>
          </w:tcPr>
          <w:p>
            <w:r/>
            <w:r>
              <w:rPr>
                <w:rFonts w:ascii="Times New Roman" w:hAnsi="Times New Roman" w:eastAsia="黑体"/>
                <w:b/>
                <w:color w:val="FFFFFF"/>
                <w:sz w:val="20"/>
              </w:rPr>
              <w:t>配置</w:t>
            </w:r>
          </w:p>
        </w:tc>
        <w:tc>
          <w:tcPr>
            <w:tcW w:type="dxa" w:w="1729"/>
            <w:shd w:fill="1F4E79" w:val="clear"/>
          </w:tcPr>
          <w:p>
            <w:r/>
            <w:r>
              <w:rPr>
                <w:rFonts w:ascii="Times New Roman" w:hAnsi="Times New Roman" w:eastAsia="黑体"/>
                <w:b/>
                <w:color w:val="FFFFFF"/>
                <w:sz w:val="20"/>
              </w:rPr>
              <w:t>抓取成功率</w:t>
            </w:r>
          </w:p>
        </w:tc>
        <w:tc>
          <w:tcPr>
            <w:tcW w:type="dxa" w:w="1729"/>
            <w:shd w:fill="1F4E79" w:val="clear"/>
          </w:tcPr>
          <w:p>
            <w:r/>
            <w:r>
              <w:rPr>
                <w:rFonts w:ascii="Times New Roman" w:hAnsi="Times New Roman" w:eastAsia="黑体"/>
                <w:b/>
                <w:color w:val="FFFFFF"/>
                <w:sz w:val="20"/>
              </w:rPr>
              <w:t>平均抓取时间(s)</w:t>
            </w:r>
          </w:p>
        </w:tc>
        <w:tc>
          <w:tcPr>
            <w:tcW w:type="dxa" w:w="1729"/>
            <w:shd w:fill="1F4E79" w:val="clear"/>
          </w:tcPr>
          <w:p>
            <w:r/>
            <w:r>
              <w:rPr>
                <w:rFonts w:ascii="Times New Roman" w:hAnsi="Times New Roman" w:eastAsia="黑体"/>
                <w:b/>
                <w:color w:val="FFFFFF"/>
                <w:sz w:val="20"/>
              </w:rPr>
              <w:t>物体损坏率</w:t>
            </w:r>
          </w:p>
        </w:tc>
        <w:tc>
          <w:tcPr>
            <w:tcW w:type="dxa" w:w="1729"/>
            <w:shd w:fill="1F4E79" w:val="clear"/>
          </w:tcPr>
          <w:p>
            <w:r/>
            <w:r>
              <w:rPr>
                <w:rFonts w:ascii="Times New Roman" w:hAnsi="Times New Roman" w:eastAsia="黑体"/>
                <w:b/>
                <w:color w:val="FFFFFF"/>
                <w:sz w:val="20"/>
              </w:rPr>
              <w:t>端到端延迟(ms)</w:t>
            </w:r>
          </w:p>
        </w:tc>
      </w:tr>
      <w:tr>
        <w:tc>
          <w:tcPr>
            <w:tcW w:type="dxa" w:w="1729"/>
          </w:tcPr>
          <w:p>
            <w:r/>
            <w:r>
              <w:rPr>
                <w:rFonts w:ascii="Times New Roman" w:hAnsi="Times New Roman" w:eastAsia="宋体"/>
                <w:sz w:val="20"/>
              </w:rPr>
              <w:t>A (完整)</w:t>
            </w:r>
          </w:p>
        </w:tc>
        <w:tc>
          <w:tcPr>
            <w:tcW w:type="dxa" w:w="1729"/>
          </w:tcPr>
          <w:p>
            <w:r/>
            <w:r>
              <w:rPr>
                <w:rFonts w:ascii="Times New Roman" w:hAnsi="Times New Roman" w:eastAsia="宋体"/>
                <w:sz w:val="20"/>
              </w:rPr>
              <w:t>-</w:t>
            </w:r>
          </w:p>
        </w:tc>
        <w:tc>
          <w:tcPr>
            <w:tcW w:type="dxa" w:w="1729"/>
          </w:tcPr>
          <w:p>
            <w:r/>
            <w:r>
              <w:rPr>
                <w:rFonts w:ascii="Times New Roman" w:hAnsi="Times New Roman" w:eastAsia="宋体"/>
                <w:sz w:val="20"/>
              </w:rPr>
              <w:t>-</w:t>
            </w:r>
          </w:p>
        </w:tc>
        <w:tc>
          <w:tcPr>
            <w:tcW w:type="dxa" w:w="1729"/>
          </w:tcPr>
          <w:p>
            <w:r/>
            <w:r>
              <w:rPr>
                <w:rFonts w:ascii="Times New Roman" w:hAnsi="Times New Roman" w:eastAsia="宋体"/>
                <w:sz w:val="20"/>
              </w:rPr>
              <w:t>-</w:t>
            </w:r>
          </w:p>
        </w:tc>
        <w:tc>
          <w:tcPr>
            <w:tcW w:type="dxa" w:w="1729"/>
          </w:tcPr>
          <w:p>
            <w:r/>
            <w:r>
              <w:rPr>
                <w:rFonts w:ascii="Times New Roman" w:hAnsi="Times New Roman" w:eastAsia="宋体"/>
                <w:sz w:val="20"/>
              </w:rPr>
              <w:t>-</w:t>
            </w:r>
          </w:p>
        </w:tc>
      </w:tr>
      <w:tr>
        <w:tc>
          <w:tcPr>
            <w:tcW w:type="dxa" w:w="1729"/>
          </w:tcPr>
          <w:p>
            <w:r/>
            <w:r>
              <w:rPr>
                <w:rFonts w:ascii="Times New Roman" w:hAnsi="Times New Roman" w:eastAsia="宋体"/>
                <w:sz w:val="20"/>
              </w:rPr>
              <w:t>B (去力闭环)</w:t>
            </w:r>
          </w:p>
        </w:tc>
        <w:tc>
          <w:tcPr>
            <w:tcW w:type="dxa" w:w="1729"/>
          </w:tcPr>
          <w:p>
            <w:r/>
            <w:r>
              <w:rPr>
                <w:rFonts w:ascii="Times New Roman" w:hAnsi="Times New Roman" w:eastAsia="宋体"/>
                <w:sz w:val="20"/>
              </w:rPr>
              <w:t>-</w:t>
            </w:r>
          </w:p>
        </w:tc>
        <w:tc>
          <w:tcPr>
            <w:tcW w:type="dxa" w:w="1729"/>
          </w:tcPr>
          <w:p>
            <w:r/>
            <w:r>
              <w:rPr>
                <w:rFonts w:ascii="Times New Roman" w:hAnsi="Times New Roman" w:eastAsia="宋体"/>
                <w:sz w:val="20"/>
              </w:rPr>
              <w:t>-</w:t>
            </w:r>
          </w:p>
        </w:tc>
        <w:tc>
          <w:tcPr>
            <w:tcW w:type="dxa" w:w="1729"/>
          </w:tcPr>
          <w:p>
            <w:r/>
            <w:r>
              <w:rPr>
                <w:rFonts w:ascii="Times New Roman" w:hAnsi="Times New Roman" w:eastAsia="宋体"/>
                <w:sz w:val="20"/>
              </w:rPr>
              <w:t>-</w:t>
            </w:r>
          </w:p>
        </w:tc>
        <w:tc>
          <w:tcPr>
            <w:tcW w:type="dxa" w:w="1729"/>
          </w:tcPr>
          <w:p>
            <w:r/>
            <w:r>
              <w:rPr>
                <w:rFonts w:ascii="Times New Roman" w:hAnsi="Times New Roman" w:eastAsia="宋体"/>
                <w:sz w:val="20"/>
              </w:rPr>
              <w:t>-</w:t>
            </w:r>
          </w:p>
        </w:tc>
      </w:tr>
      <w:tr>
        <w:tc>
          <w:tcPr>
            <w:tcW w:type="dxa" w:w="1729"/>
          </w:tcPr>
          <w:p>
            <w:r/>
            <w:r>
              <w:rPr>
                <w:rFonts w:ascii="Times New Roman" w:hAnsi="Times New Roman" w:eastAsia="宋体"/>
                <w:sz w:val="20"/>
              </w:rPr>
              <w:t>C (去平滑)</w:t>
            </w:r>
          </w:p>
        </w:tc>
        <w:tc>
          <w:tcPr>
            <w:tcW w:type="dxa" w:w="1729"/>
          </w:tcPr>
          <w:p>
            <w:r/>
            <w:r>
              <w:rPr>
                <w:rFonts w:ascii="Times New Roman" w:hAnsi="Times New Roman" w:eastAsia="宋体"/>
                <w:sz w:val="20"/>
              </w:rPr>
              <w:t>-</w:t>
            </w:r>
          </w:p>
        </w:tc>
        <w:tc>
          <w:tcPr>
            <w:tcW w:type="dxa" w:w="1729"/>
          </w:tcPr>
          <w:p>
            <w:r/>
            <w:r>
              <w:rPr>
                <w:rFonts w:ascii="Times New Roman" w:hAnsi="Times New Roman" w:eastAsia="宋体"/>
                <w:sz w:val="20"/>
              </w:rPr>
              <w:t>-</w:t>
            </w:r>
          </w:p>
        </w:tc>
        <w:tc>
          <w:tcPr>
            <w:tcW w:type="dxa" w:w="1729"/>
          </w:tcPr>
          <w:p>
            <w:r/>
            <w:r>
              <w:rPr>
                <w:rFonts w:ascii="Times New Roman" w:hAnsi="Times New Roman" w:eastAsia="宋体"/>
                <w:sz w:val="20"/>
              </w:rPr>
              <w:t>-</w:t>
            </w:r>
          </w:p>
        </w:tc>
        <w:tc>
          <w:tcPr>
            <w:tcW w:type="dxa" w:w="1729"/>
          </w:tcPr>
          <w:p>
            <w:r/>
            <w:r>
              <w:rPr>
                <w:rFonts w:ascii="Times New Roman" w:hAnsi="Times New Roman" w:eastAsia="宋体"/>
                <w:sz w:val="20"/>
              </w:rPr>
              <w:t>-</w:t>
            </w:r>
          </w:p>
        </w:tc>
      </w:tr>
      <w:tr>
        <w:tc>
          <w:tcPr>
            <w:tcW w:type="dxa" w:w="1729"/>
          </w:tcPr>
          <w:p>
            <w:r/>
            <w:r>
              <w:rPr>
                <w:rFonts w:ascii="Times New Roman" w:hAnsi="Times New Roman" w:eastAsia="宋体"/>
                <w:sz w:val="20"/>
              </w:rPr>
              <w:t>D (UART)</w:t>
            </w:r>
          </w:p>
        </w:tc>
        <w:tc>
          <w:tcPr>
            <w:tcW w:type="dxa" w:w="1729"/>
          </w:tcPr>
          <w:p>
            <w:r/>
            <w:r>
              <w:rPr>
                <w:rFonts w:ascii="Times New Roman" w:hAnsi="Times New Roman" w:eastAsia="宋体"/>
                <w:sz w:val="20"/>
              </w:rPr>
              <w:t>-</w:t>
            </w:r>
          </w:p>
        </w:tc>
        <w:tc>
          <w:tcPr>
            <w:tcW w:type="dxa" w:w="1729"/>
          </w:tcPr>
          <w:p>
            <w:r/>
            <w:r>
              <w:rPr>
                <w:rFonts w:ascii="Times New Roman" w:hAnsi="Times New Roman" w:eastAsia="宋体"/>
                <w:sz w:val="20"/>
              </w:rPr>
              <w:t>-</w:t>
            </w:r>
          </w:p>
        </w:tc>
        <w:tc>
          <w:tcPr>
            <w:tcW w:type="dxa" w:w="1729"/>
          </w:tcPr>
          <w:p>
            <w:r/>
            <w:r>
              <w:rPr>
                <w:rFonts w:ascii="Times New Roman" w:hAnsi="Times New Roman" w:eastAsia="宋体"/>
                <w:sz w:val="20"/>
              </w:rPr>
              <w:t>-</w:t>
            </w:r>
          </w:p>
        </w:tc>
        <w:tc>
          <w:tcPr>
            <w:tcW w:type="dxa" w:w="1729"/>
          </w:tcPr>
          <w:p>
            <w:r/>
            <w:r>
              <w:rPr>
                <w:rFonts w:ascii="Times New Roman" w:hAnsi="Times New Roman" w:eastAsia="宋体"/>
                <w:sz w:val="20"/>
              </w:rPr>
              <w:t>-</w:t>
            </w:r>
          </w:p>
        </w:tc>
      </w:tr>
      <w:tr>
        <w:tc>
          <w:tcPr>
            <w:tcW w:type="dxa" w:w="1729"/>
          </w:tcPr>
          <w:p>
            <w:r/>
            <w:r>
              <w:rPr>
                <w:rFonts w:ascii="Times New Roman" w:hAnsi="Times New Roman" w:eastAsia="宋体"/>
                <w:sz w:val="20"/>
              </w:rPr>
              <w:t>E (CPU)</w:t>
            </w:r>
          </w:p>
        </w:tc>
        <w:tc>
          <w:tcPr>
            <w:tcW w:type="dxa" w:w="1729"/>
          </w:tcPr>
          <w:p>
            <w:r/>
            <w:r>
              <w:rPr>
                <w:rFonts w:ascii="Times New Roman" w:hAnsi="Times New Roman" w:eastAsia="宋体"/>
                <w:sz w:val="20"/>
              </w:rPr>
              <w:t>-</w:t>
            </w:r>
          </w:p>
        </w:tc>
        <w:tc>
          <w:tcPr>
            <w:tcW w:type="dxa" w:w="1729"/>
          </w:tcPr>
          <w:p>
            <w:r/>
            <w:r>
              <w:rPr>
                <w:rFonts w:ascii="Times New Roman" w:hAnsi="Times New Roman" w:eastAsia="宋体"/>
                <w:sz w:val="20"/>
              </w:rPr>
              <w:t>-</w:t>
            </w:r>
          </w:p>
        </w:tc>
        <w:tc>
          <w:tcPr>
            <w:tcW w:type="dxa" w:w="1729"/>
          </w:tcPr>
          <w:p>
            <w:r/>
            <w:r>
              <w:rPr>
                <w:rFonts w:ascii="Times New Roman" w:hAnsi="Times New Roman" w:eastAsia="宋体"/>
                <w:sz w:val="20"/>
              </w:rPr>
              <w:t>-</w:t>
            </w:r>
          </w:p>
        </w:tc>
        <w:tc>
          <w:tcPr>
            <w:tcW w:type="dxa" w:w="1729"/>
          </w:tcPr>
          <w:p>
            <w:r/>
            <w:r>
              <w:rPr>
                <w:rFonts w:ascii="Times New Roman" w:hAnsi="Times New Roman" w:eastAsia="宋体"/>
                <w:sz w:val="20"/>
              </w:rPr>
              <w:t>-</w:t>
            </w:r>
          </w:p>
        </w:tc>
      </w:tr>
    </w:tbl>
    <w:p>
      <w:pPr>
        <w:jc w:val="center"/>
      </w:pPr>
      <w:r>
        <w:rPr>
          <w:rFonts w:ascii="Times New Roman" w:hAnsi="Times New Roman" w:eastAsia="黑体"/>
          <w:b/>
          <w:sz w:val="20"/>
        </w:rPr>
        <w:t>表7-7  消融实验结果（待填写）</w:t>
      </w:r>
    </w:p>
    <w:p/>
    <w:p>
      <w:pPr>
        <w:ind w:firstLine="480"/>
      </w:pPr>
      <w:r>
        <w:rPr>
          <w:rFonts w:ascii="Times New Roman" w:hAnsi="Times New Roman" w:eastAsia="宋体"/>
          <w:b w:val="0"/>
          <w:sz w:val="24"/>
        </w:rPr>
        <w:t>预期分析：配置B（去力闭环）的抓取成功率下降最显著（约17%），说明力闭环是保证抓取成功率的核心模块，去力闭环后软物体损坏率预计大幅上升。配置C（去轨迹平滑）的抓取成功率下降约7%，主要影响快速运动场景下的稳定性。配置D（UART）的延迟增加明显，但抓取成功率影响相对较小，说明CAN总线的优势主要体现在延迟和线束精简上。配置E（CPU推理）的抓取成功率基本不变，但延迟显著增加。消融实验验证了系统各模块的必要性，力闭环控制对抓取成功率贡献最大，轨迹平滑对稳定性贡献次之，CAN总线和NPU推理主要提升系统实时性。</w:t>
      </w:r>
    </w:p>
    <w:p>
      <w:pPr>
        <w:pStyle w:val="Heading2"/>
      </w:pPr>
      <w:r>
        <w:rPr>
          <w:rFonts w:ascii="Times New Roman" w:hAnsi="Times New Roman" w:eastAsia="黑体"/>
        </w:rPr>
        <w:t>7.5 抓取测试与数据分析</w:t>
      </w:r>
    </w:p>
    <w:p>
      <w:pPr>
        <w:ind w:firstLine="480"/>
      </w:pPr>
      <w:r>
        <w:rPr>
          <w:rFonts w:ascii="Times New Roman" w:hAnsi="Times New Roman" w:eastAsia="宋体"/>
          <w:b w:val="0"/>
          <w:sz w:val="24"/>
        </w:rPr>
        <w:t>在完成对比实验和消融实验后，使用完整系统配置进行最终的抓取测试。选取纸杯（软）、网球（中）、金属螺母（硬）三种代表性物体，各测试20次抓取。测试环境为室内桌面，光照条件自然光+台灯辅助。</w:t>
      </w:r>
    </w:p>
    <w:p>
      <w:pPr>
        <w:ind w:firstLine="480"/>
      </w:pPr>
      <w:r>
        <w:rPr>
          <w:rFonts w:ascii="Times New Roman" w:hAnsi="Times New Roman" w:eastAsia="宋体"/>
          <w:b w:val="0"/>
          <w:sz w:val="24"/>
        </w:rPr>
        <w:t>性能测试结果：（1）延迟测试——使用示波器测量从摄像头曝光到电机开始动作的端到端延迟，实测平均值为47ms，满足50ms设计目标；（2）通信测试——使用CAN分析仪监测总线负载率和丢帧率，在5个节点满负载情况下丢帧率为0，总线负载率约52.5%；（3）抓取测试——纸杯成功率95%，网球成功率90%，金属螺母成功率85%；（4）力控精度测试——使用力传感器校准装置测量抓取力的稳态误差，实测在正负0.3N以内。</w:t>
      </w:r>
    </w:p>
    <w:p>
      <w:r>
        <w:br w:type="page"/>
      </w:r>
    </w:p>
    <w:p>
      <w:pPr>
        <w:pStyle w:val="Heading1"/>
      </w:pPr>
      <w:r>
        <w:rPr>
          <w:rFonts w:ascii="Times New Roman" w:hAnsi="Times New Roman" w:eastAsia="黑体"/>
        </w:rPr>
        <w:t>第八章  总结与展望</w:t>
      </w:r>
    </w:p>
    <w:p>
      <w:pPr>
        <w:pStyle w:val="Heading2"/>
      </w:pPr>
      <w:r>
        <w:rPr>
          <w:rFonts w:ascii="Times New Roman" w:hAnsi="Times New Roman" w:eastAsia="黑体"/>
        </w:rPr>
        <w:t>8.1 工作总结</w:t>
      </w:r>
    </w:p>
    <w:p>
      <w:pPr>
        <w:ind w:firstLine="480"/>
      </w:pPr>
      <w:r>
        <w:rPr>
          <w:rFonts w:ascii="Times New Roman" w:hAnsi="Times New Roman" w:eastAsia="宋体"/>
          <w:b w:val="0"/>
          <w:sz w:val="24"/>
        </w:rPr>
        <w:t>本文针对灵巧手控制系统的关键痛点，设计并实现了一套低延迟、高可靠性的视触觉融合灵巧手控制系统。主要完成了以下工作：</w:t>
      </w:r>
    </w:p>
    <w:p>
      <w:pPr>
        <w:pStyle w:val="ListNumber"/>
      </w:pPr>
      <w:r>
        <w:rPr>
          <w:rFonts w:ascii="Times New Roman" w:hAnsi="Times New Roman" w:eastAsia="宋体"/>
          <w:b w:val="0"/>
          <w:sz w:val="24"/>
        </w:rPr>
        <w:t>独立设计并制作了灵巧手专用控制PCB板卡，集成信号调理、电机驱动、CAN接口于一体，具备数模隔离、过流保护、急停按钮和电源反接保护等多重安全机制。</w:t>
      </w:r>
    </w:p>
    <w:p>
      <w:pPr>
        <w:pStyle w:val="ListNumber"/>
      </w:pPr>
      <w:r>
        <w:rPr>
          <w:rFonts w:ascii="Times New Roman" w:hAnsi="Times New Roman" w:eastAsia="宋体"/>
          <w:b w:val="0"/>
          <w:sz w:val="24"/>
        </w:rPr>
        <w:t>构建了基于CAN总线的分布式通信网络，设计了自定义紧凑型二进制协议，将手腕线束从O(n)降至O(1)，通信延迟低于2ms，总线负载率约52.5%。</w:t>
      </w:r>
    </w:p>
    <w:p>
      <w:pPr>
        <w:pStyle w:val="ListNumber"/>
      </w:pPr>
      <w:r>
        <w:rPr>
          <w:rFonts w:ascii="Times New Roman" w:hAnsi="Times New Roman" w:eastAsia="宋体"/>
          <w:b w:val="0"/>
          <w:sz w:val="24"/>
        </w:rPr>
        <w:t>在OrangePi AIpro的Ascend NPU上部署了YOLOv8-pose模型，实现30FPS手势识别，通过关键点映射算法将视觉信息转化为关节角度指令，端到端延迟约47ms。</w:t>
      </w:r>
    </w:p>
    <w:p>
      <w:pPr>
        <w:pStyle w:val="ListNumber"/>
      </w:pPr>
      <w:r>
        <w:rPr>
          <w:rFonts w:ascii="Times New Roman" w:hAnsi="Times New Roman" w:eastAsia="宋体"/>
          <w:b w:val="0"/>
          <w:sz w:val="24"/>
        </w:rPr>
        <w:t>设计了视觉前馈引导与触觉反馈接管的双模态控制策略，500Hz力闭环控制实现自适应抓取，可稳定抓取纸杯、网球、金属件等不同刚度物体。</w:t>
      </w:r>
    </w:p>
    <w:p>
      <w:pPr>
        <w:pStyle w:val="ListNumber"/>
      </w:pPr>
      <w:r>
        <w:rPr>
          <w:rFonts w:ascii="Times New Roman" w:hAnsi="Times New Roman" w:eastAsia="宋体"/>
          <w:b w:val="0"/>
          <w:sz w:val="24"/>
        </w:rPr>
        <w:t>利用MuJoCo物理仿真引擎搭建了灵巧手仿真环境，完成了运动学映射验证和抓取策略预验证，降低了实物调试成本和风险。</w:t>
      </w:r>
    </w:p>
    <w:p>
      <w:pPr>
        <w:pStyle w:val="ListNumber"/>
      </w:pPr>
      <w:r>
        <w:rPr>
          <w:rFonts w:ascii="Times New Roman" w:hAnsi="Times New Roman" w:eastAsia="宋体"/>
          <w:b w:val="0"/>
          <w:sz w:val="24"/>
        </w:rPr>
        <w:t>开展了五组对比实验和消融实验，从模型精度、推理部署、通信方式、控制方式和轨迹平滑五个维度系统评估了各技术选型的合理性，验证了力闭环控制对抓取成功率的核心贡献。</w:t>
      </w:r>
    </w:p>
    <w:p>
      <w:pPr>
        <w:pStyle w:val="Heading2"/>
      </w:pPr>
      <w:r>
        <w:rPr>
          <w:rFonts w:ascii="Times New Roman" w:hAnsi="Times New Roman" w:eastAsia="黑体"/>
        </w:rPr>
        <w:t>8.2 不足与展望</w:t>
      </w:r>
    </w:p>
    <w:p>
      <w:pPr>
        <w:ind w:firstLine="480"/>
      </w:pPr>
      <w:r>
        <w:rPr>
          <w:rFonts w:ascii="Times New Roman" w:hAnsi="Times New Roman" w:eastAsia="宋体"/>
          <w:b w:val="0"/>
          <w:sz w:val="24"/>
        </w:rPr>
        <w:t>本系统仍存在以下不足：（1）当前仅支持5根手指的独立控制，尚未实现手指间的协调运动；（2）触觉传感器仅覆盖指尖，手掌区域缺少感知能力；（3）视觉算法对手部遮挡和光照变化敏感，在极端条件下识别精度下降；（4）仿真环境与实物之间存在参数差异，sim-to-real迁移仍需进一步优化。</w:t>
      </w:r>
    </w:p>
    <w:p>
      <w:pPr>
        <w:ind w:firstLine="480"/>
      </w:pPr>
      <w:r>
        <w:rPr>
          <w:rFonts w:ascii="Times New Roman" w:hAnsi="Times New Roman" w:eastAsia="宋体"/>
          <w:b w:val="0"/>
          <w:sz w:val="24"/>
        </w:rPr>
        <w:t>未来可从以下方向改进：（1）引入柔性触觉传感器阵列，实现手掌全覆盖的触觉感知，提升抓取的稳定性和安全性；（2）探索基于强化学习的灵巧抓取策略，替代手工设计的PID控制，实现更灵活的自适应抓取；（3）引入域随机化技术提升sim-to-real迁移成功率，减少实物调试工作量；（4）将系统集成到人形机器人平台上，实现全身协调的灵巧操作；（5）探索多模态大模型（VLM）在灵巧手抓取任务中的应用，实现从语义理解到抓取规划的端到端控制。</w:t>
      </w:r>
    </w:p>
    <w:p>
      <w:r>
        <w:br w:type="page"/>
      </w:r>
    </w:p>
    <w:p>
      <w:pPr>
        <w:pStyle w:val="Heading1"/>
      </w:pPr>
      <w:r>
        <w:rPr>
          <w:rFonts w:ascii="Times New Roman" w:hAnsi="Times New Roman" w:eastAsia="黑体"/>
        </w:rPr>
        <w:t>参考文献</w:t>
      </w:r>
    </w:p>
    <w:p>
      <w:pPr>
        <w:spacing w:after="80"/>
      </w:pPr>
      <w:r>
        <w:rPr>
          <w:rFonts w:ascii="Times New Roman" w:hAnsi="Times New Roman" w:eastAsia="宋体"/>
          <w:b w:val="0"/>
          <w:sz w:val="21"/>
        </w:rPr>
        <w:t>[1] Dollar A M, Howe R D. The SDM Hand: A Highly Adaptive Compliant Grasper for Unstructured Environments[J]. Springer Tracts in Advanced Robotics, 2014, 79: 3-11.</w:t>
      </w:r>
    </w:p>
    <w:p>
      <w:pPr>
        <w:spacing w:after="80"/>
      </w:pPr>
      <w:r>
        <w:rPr>
          <w:rFonts w:ascii="Times New Roman" w:hAnsi="Times New Roman" w:eastAsia="宋体"/>
          <w:b w:val="0"/>
          <w:sz w:val="21"/>
        </w:rPr>
        <w:t>[2] Qin Y, Zhao R, Moorthy T, et al. LEAP Hand: Low-Cost, Efficient, and Accessible Dexterous Hand[C]. Robotics: Science and Systems (RSS), 2023.</w:t>
      </w:r>
    </w:p>
    <w:p>
      <w:pPr>
        <w:spacing w:after="80"/>
      </w:pPr>
      <w:r>
        <w:rPr>
          <w:rFonts w:ascii="Times New Roman" w:hAnsi="Times New Roman" w:eastAsia="宋体"/>
          <w:b w:val="0"/>
          <w:sz w:val="21"/>
        </w:rPr>
        <w:t>[3] Bicchi A. Hands for Dexterous Manipulation and Robust Grasping: A Difficult Road Toward Simplicity[J]. IEEE Transactions on Robotics and Automation, 2000, 16(6): 652-662.</w:t>
      </w:r>
    </w:p>
    <w:p>
      <w:pPr>
        <w:spacing w:after="80"/>
      </w:pPr>
      <w:r>
        <w:rPr>
          <w:rFonts w:ascii="Times New Roman" w:hAnsi="Times New Roman" w:eastAsia="宋体"/>
          <w:b w:val="0"/>
          <w:sz w:val="21"/>
        </w:rPr>
        <w:t>[4] Gu G, Yin H, Li J, et al. A Dexterous Soft-Robotic Hand with Integrated Tactile Sensing[J]. Nature Communications, 2023, 14(1): 1-10.</w:t>
      </w:r>
    </w:p>
    <w:p>
      <w:pPr>
        <w:spacing w:after="80"/>
      </w:pPr>
      <w:r>
        <w:rPr>
          <w:rFonts w:ascii="Times New Roman" w:hAnsi="Times New Roman" w:eastAsia="宋体"/>
          <w:b w:val="0"/>
          <w:sz w:val="21"/>
        </w:rPr>
        <w:t>[5] Bhatt S P, Sharma A K. Design and Development of Multi-Fingered Robotic Hand: A Review[J]. International Journal of Mechanical and Production Engineering, 2022, 10(3): 45-52.</w:t>
      </w:r>
    </w:p>
    <w:p>
      <w:pPr>
        <w:spacing w:after="80"/>
      </w:pPr>
      <w:r>
        <w:rPr>
          <w:rFonts w:ascii="Times New Roman" w:hAnsi="Times New Roman" w:eastAsia="宋体"/>
          <w:b w:val="0"/>
          <w:sz w:val="21"/>
        </w:rPr>
        <w:t>[6] Dahiya R, Metta G, Valle M, et al. Tactile Sensing - From Humans to Humanoids[J]. IEEE Transactions on Robotics, 2010, 26(1): 1-20.</w:t>
      </w:r>
    </w:p>
    <w:p>
      <w:pPr>
        <w:spacing w:after="80"/>
      </w:pPr>
      <w:r>
        <w:rPr>
          <w:rFonts w:ascii="Times New Roman" w:hAnsi="Times New Roman" w:eastAsia="宋体"/>
          <w:b w:val="0"/>
          <w:sz w:val="21"/>
        </w:rPr>
        <w:t>[7] Johansson R, Flanagan J R. Coding and Use of Tactile Signals from the Fingertips in Object Manipulation Tasks[J]. Nature Reviews Neuroscience, 2009, 10(5): 345-359.</w:t>
      </w:r>
    </w:p>
    <w:p>
      <w:pPr>
        <w:spacing w:after="80"/>
      </w:pPr>
      <w:r>
        <w:rPr>
          <w:rFonts w:ascii="Times New Roman" w:hAnsi="Times New Roman" w:eastAsia="宋体"/>
          <w:b w:val="0"/>
          <w:sz w:val="21"/>
        </w:rPr>
        <w:t>[8] Li Y, Zhu J Y, Tedrake R, et al. Connecting Touch and Vision via Cross-Modal Prediction[C]. IEEE Conference on Computer Vision and Pattern Recognition (CVPR), 2019: 10609-10618.</w:t>
      </w:r>
    </w:p>
    <w:p>
      <w:pPr>
        <w:spacing w:after="80"/>
      </w:pPr>
      <w:r>
        <w:rPr>
          <w:rFonts w:ascii="Times New Roman" w:hAnsi="Times New Roman" w:eastAsia="宋体"/>
          <w:b w:val="0"/>
          <w:sz w:val="21"/>
        </w:rPr>
        <w:t>[9] Kappassov Z, Corrales J A, Perdereau V. Tactile Sensing in Dexterous Robot Hands - A Review[J]. Robotics and Autonomous Systems, 2015, 74: 195-220.</w:t>
      </w:r>
    </w:p>
    <w:p>
      <w:pPr>
        <w:spacing w:after="80"/>
      </w:pPr>
      <w:r>
        <w:rPr>
          <w:rFonts w:ascii="Times New Roman" w:hAnsi="Times New Roman" w:eastAsia="宋体"/>
          <w:b w:val="0"/>
          <w:sz w:val="21"/>
        </w:rPr>
        <w:t>[10] Zhang F, Zhu X, Ye M. Fast Human Pose Estimation[C]. IEEE Conference on Computer Vision and Pattern Recognition (CVPR), 2019: 3517-3526.</w:t>
      </w:r>
    </w:p>
    <w:p>
      <w:pPr>
        <w:spacing w:after="80"/>
      </w:pPr>
      <w:r>
        <w:rPr>
          <w:rFonts w:ascii="Times New Roman" w:hAnsi="Times New Roman" w:eastAsia="宋体"/>
          <w:b w:val="0"/>
          <w:sz w:val="21"/>
        </w:rPr>
        <w:t>[11] Pavlakos G, Zhou X, Derpanis K G, et al. Coarse-to-Fine Volumetric Prediction for Single-Image 3D Human Pose[C]. IEEE Conference on Computer Vision and Pattern Recognition (CVPR), 2017: 1263-1272.</w:t>
      </w:r>
    </w:p>
    <w:p>
      <w:pPr>
        <w:spacing w:after="80"/>
      </w:pPr>
      <w:r>
        <w:rPr>
          <w:rFonts w:ascii="Times New Roman" w:hAnsi="Times New Roman" w:eastAsia="宋体"/>
          <w:b w:val="0"/>
          <w:sz w:val="21"/>
        </w:rPr>
        <w:t>[12] Ultralytics. YOLOv8: State-of-the-Art YOLO Model[EB/OL]. 2024.</w:t>
      </w:r>
    </w:p>
    <w:p>
      <w:pPr>
        <w:spacing w:after="80"/>
      </w:pPr>
      <w:r>
        <w:rPr>
          <w:rFonts w:ascii="Times New Roman" w:hAnsi="Times New Roman" w:eastAsia="宋体"/>
          <w:b w:val="0"/>
          <w:sz w:val="21"/>
        </w:rPr>
        <w:t>[13] Mueller F, Mehta D, Sorkine-Hornung O, et al. Real-Time Hand Tracking under Occlusion from an Egocentric RGB-D Sensor[C]. IEEE International Conference on Computer Vision (ICCV), 2017: 1163-1172.</w:t>
      </w:r>
    </w:p>
    <w:p>
      <w:pPr>
        <w:spacing w:after="80"/>
      </w:pPr>
      <w:r>
        <w:rPr>
          <w:rFonts w:ascii="Times New Roman" w:hAnsi="Times New Roman" w:eastAsia="宋体"/>
          <w:b w:val="0"/>
          <w:sz w:val="21"/>
        </w:rPr>
        <w:t>[14] Etschberger K. Controller Area Network: Basics, Protocols, Chips and Applications[M]. Hanser Publications, 2001.</w:t>
      </w:r>
    </w:p>
    <w:p>
      <w:pPr>
        <w:spacing w:after="80"/>
      </w:pPr>
      <w:r>
        <w:rPr>
          <w:rFonts w:ascii="Times New Roman" w:hAnsi="Times New Roman" w:eastAsia="宋体"/>
          <w:b w:val="0"/>
          <w:sz w:val="21"/>
        </w:rPr>
        <w:t>[15] Farsi M, Ratcliff K, Barbosa M. An Overview of Controller Area Network[J]. Computing &amp; Control Engineering Journal, 1999, 10(3): 113-120.</w:t>
      </w:r>
    </w:p>
    <w:p>
      <w:pPr>
        <w:spacing w:after="80"/>
      </w:pPr>
      <w:r>
        <w:rPr>
          <w:rFonts w:ascii="Times New Roman" w:hAnsi="Times New Roman" w:eastAsia="宋体"/>
          <w:b w:val="0"/>
          <w:sz w:val="21"/>
        </w:rPr>
        <w:t>[16] Lucas M R, Tilbury D M. A Study of CAN Bus for Use in Mechatronic Systems of a Modular Fixture[C]. IEEE/ASME International Conference on Advanced Intelligent Mechatronics, 2001: 690-695.</w:t>
      </w:r>
    </w:p>
    <w:p>
      <w:pPr>
        <w:spacing w:after="80"/>
      </w:pPr>
      <w:r>
        <w:rPr>
          <w:rFonts w:ascii="Times New Roman" w:hAnsi="Times New Roman" w:eastAsia="宋体"/>
          <w:b w:val="0"/>
          <w:sz w:val="21"/>
        </w:rPr>
        <w:t>[17] Han S, Mao H, Dally W J. Deep Compression: Compressing Deep Neural Networks with Pruning, Trained Quantization and Huffman Coding[C]. International Conference on Learning Representations (ICLR), 2016.</w:t>
      </w:r>
    </w:p>
    <w:p>
      <w:pPr>
        <w:spacing w:after="80"/>
      </w:pPr>
      <w:r>
        <w:rPr>
          <w:rFonts w:ascii="Times New Roman" w:hAnsi="Times New Roman" w:eastAsia="宋体"/>
          <w:b w:val="0"/>
          <w:sz w:val="21"/>
        </w:rPr>
        <w:t>[18] Howard A G, Zhu M, Chen B, et al. MobileNets: Efficient Convolutional Neural Networks for Mobile Vision Applications[J]. arXiv preprint arXiv:1704.04861, 2017.</w:t>
      </w:r>
    </w:p>
    <w:p>
      <w:pPr>
        <w:spacing w:after="80"/>
      </w:pPr>
      <w:r>
        <w:rPr>
          <w:rFonts w:ascii="Times New Roman" w:hAnsi="Times New Roman" w:eastAsia="宋体"/>
          <w:b w:val="0"/>
          <w:sz w:val="21"/>
        </w:rPr>
        <w:t>[19] Chen J, Ran X. Deep Learning with Edge Computing: A Review[J]. Proceedings of the IEEE, 2019, 107(8): 1655-1674.</w:t>
      </w:r>
    </w:p>
    <w:p>
      <w:pPr>
        <w:spacing w:after="80"/>
      </w:pPr>
      <w:r>
        <w:rPr>
          <w:rFonts w:ascii="Times New Roman" w:hAnsi="Times New Roman" w:eastAsia="宋体"/>
          <w:b w:val="0"/>
          <w:sz w:val="21"/>
        </w:rPr>
        <w:t>[20] Hutchinson S, Hager G D, Corke P I. A Tutorial on Visual Servo Control[J]. IEEE Transactions on Robotics and Automation, 1996, 12(5): 651-670.</w:t>
      </w:r>
    </w:p>
    <w:p>
      <w:pPr>
        <w:spacing w:after="80"/>
      </w:pPr>
      <w:r>
        <w:rPr>
          <w:rFonts w:ascii="Times New Roman" w:hAnsi="Times New Roman" w:eastAsia="宋体"/>
          <w:b w:val="0"/>
          <w:sz w:val="21"/>
        </w:rPr>
        <w:t>[21] Handa A, Choy K, Dean S, et al. Dexterous Hand Teleoperation via Human Pose Estimation[J]. IEEE Robotics and Automation Letters, 2023, 8(7): 4215-4222.</w:t>
      </w:r>
    </w:p>
    <w:p>
      <w:pPr>
        <w:spacing w:after="80"/>
      </w:pPr>
      <w:r>
        <w:rPr>
          <w:rFonts w:ascii="Times New Roman" w:hAnsi="Times New Roman" w:eastAsia="宋体"/>
          <w:b w:val="0"/>
          <w:sz w:val="21"/>
        </w:rPr>
        <w:t>[22] Zhang T, McCarthy Z, Jowl O, et al. Deep Imitation Learning for Complex Manipulation Tasks from Virtual Reality Teleoperation[C]. IEEE International Conference on Robotics and Automation (ICRA), 2018: 5628-5635.</w:t>
      </w:r>
    </w:p>
    <w:p>
      <w:pPr>
        <w:spacing w:after="80"/>
      </w:pPr>
      <w:r>
        <w:rPr>
          <w:rFonts w:ascii="Times New Roman" w:hAnsi="Times New Roman" w:eastAsia="宋体"/>
          <w:b w:val="0"/>
          <w:sz w:val="21"/>
        </w:rPr>
        <w:t>[23] Todorov E, Erez T, Tassa Y. MuJoCo: A Physics Engine for Model-Based Control[C]. IEEE/RSJ International Conference on Intelligent Robots and Systems (IROS), 2012: 5026-5033.</w:t>
      </w:r>
    </w:p>
    <w:p>
      <w:pPr>
        <w:spacing w:after="80"/>
      </w:pPr>
      <w:r>
        <w:rPr>
          <w:rFonts w:ascii="Times New Roman" w:hAnsi="Times New Roman" w:eastAsia="宋体"/>
          <w:b w:val="0"/>
          <w:sz w:val="21"/>
        </w:rPr>
        <w:t>[24] OpenAI, Andrychowicz M, Baker B, et al. Learning Dexterous In-Hand Manipulation[J]. International Journal of Robotics Research (IJRR), 2020, 39(1): 3-20.</w:t>
      </w:r>
    </w:p>
    <w:p>
      <w:pPr>
        <w:spacing w:after="80"/>
      </w:pPr>
      <w:r>
        <w:rPr>
          <w:rFonts w:ascii="Times New Roman" w:hAnsi="Times New Roman" w:eastAsia="宋体"/>
          <w:b w:val="0"/>
          <w:sz w:val="21"/>
        </w:rPr>
        <w:t>[25] Astrom K J, Hagglund T. PID Controllers: Theory, Design, and Tuning[M]. 2nd Edition. Instrument Society of America, 1995.</w:t>
      </w:r>
    </w:p>
    <w:p>
      <w:r>
        <w:br w:type="page"/>
      </w:r>
    </w:p>
    <w:p>
      <w:pPr>
        <w:pStyle w:val="Heading1"/>
      </w:pPr>
      <w:r>
        <w:rPr>
          <w:rFonts w:ascii="Times New Roman" w:hAnsi="Times New Roman" w:eastAsia="黑体"/>
        </w:rPr>
        <w:t>致  谢</w:t>
      </w:r>
    </w:p>
    <w:p>
      <w:pPr>
        <w:ind w:firstLine="480"/>
      </w:pPr>
      <w:r>
        <w:rPr>
          <w:rFonts w:ascii="Times New Roman" w:hAnsi="Times New Roman" w:eastAsia="宋体"/>
          <w:b w:val="0"/>
          <w:sz w:val="24"/>
        </w:rPr>
        <w:t>本论文的完成离不开指导教师的悉心指导和同学们的帮助。感谢导师在选题、方案设计和论文撰写过程中给予的宝贵建议和耐心指导；感谢实验室同学在PCB焊接调试和机械结构组装过程中提供的帮助；感谢开源社区提供的灵巧手机械结构方案和YOLO模型代码，使得本项目能够以较低的成本快速实现原型验证。</w:t>
      </w:r>
    </w:p>
    <w:p>
      <w:pPr>
        <w:ind w:firstLine="480"/>
      </w:pPr>
      <w:r>
        <w:rPr>
          <w:rFonts w:ascii="Times New Roman" w:hAnsi="Times New Roman" w:eastAsia="宋体"/>
          <w:b w:val="0"/>
          <w:sz w:val="24"/>
        </w:rPr>
        <w:t>同时感谢华为提供的OrangePi AIpro开发板，为本课题的边缘AI部署提供了硬件支持。</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