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widowControl/>
      </w:pPr>
      <w:r>
        <w:rPr>
          <w:rFonts w:ascii="Times New Roman" w:hAnsi="Times New Roman" w:eastAsia="宋体"/>
          <w:b/>
          <w:color w:val="000000"/>
          <w:sz w:val="32"/>
        </w:rPr>
        <w:t>1 项目概况</w:t>
      </w:r>
    </w:p>
    <w:p>
      <w:pPr>
        <w:pStyle w:val="Heading2"/>
        <w:keepNext/>
        <w:keepLines/>
        <w:widowControl/>
      </w:pPr>
      <w:r>
        <w:rPr>
          <w:rFonts w:ascii="Times New Roman" w:hAnsi="Times New Roman" w:eastAsia="宋体"/>
          <w:b/>
          <w:color w:val="000000"/>
          <w:sz w:val="28"/>
        </w:rPr>
        <w:t>1.1 背景和基础</w:t>
      </w:r>
    </w:p>
    <w:p>
      <w:pPr>
        <w:pStyle w:val="Heading3"/>
        <w:keepNext/>
        <w:keepLines/>
        <w:widowControl/>
      </w:pPr>
      <w:r>
        <w:rPr>
          <w:rFonts w:ascii="Times New Roman" w:hAnsi="Times New Roman" w:eastAsia="宋体"/>
          <w:b/>
          <w:color w:val="000000"/>
          <w:sz w:val="24"/>
        </w:rPr>
        <w:t>1.1.1 项目背景</w:t>
      </w:r>
    </w:p>
    <w:p>
      <w:pPr>
        <w:widowControl/>
      </w:pPr>
      <w:r>
        <w:rPr>
          <w:rFonts w:ascii="Times New Roman" w:hAnsi="Times New Roman" w:eastAsia="宋体"/>
          <w:b w:val="0"/>
          <w:color w:val="000000"/>
          <w:sz w:val="21"/>
        </w:rPr>
        <w:t>洪涝灾害具有发生范围广、演化速度快、地表条件复杂和信息获取窗口短等特点。灾害发生后，应急部门最关心的并不只是“哪里已经被淹”，还包括洪水范围是否仍在扩展、哪些低洼区域和交通节点可能在下一阶段受到影响、有限的救援力量应优先投向何处。传统灾情信息主要来自地面巡查、群众上报、无人机航测、光学卫星判读和水文模型推演。地面方式精细但覆盖范围有限，且在道路中断或通信受损时难以及时形成区域性判断；光学影像直观，却容易受云层、强降雨和夜间条件影响；水动力学模型能够描述物理过程，但通常依赖较完整的降雨、河网、糙率、边界条件和高质量地形数据，在跨区域快速迁移和灾后早期即时部署方面存在较高的数据准备成本。</w:t>
      </w:r>
    </w:p>
    <w:p>
      <w:pPr>
        <w:widowControl/>
      </w:pPr>
      <w:r>
        <w:rPr>
          <w:rFonts w:ascii="Times New Roman" w:hAnsi="Times New Roman" w:eastAsia="宋体"/>
          <w:b w:val="0"/>
          <w:color w:val="000000"/>
          <w:sz w:val="21"/>
        </w:rPr>
        <w:t>合成孔径雷达（Synthetic Aperture Radar，SAR）通过主动微波成像，在多云、降雨和夜间条件下仍可获取地表信息。欧洲航天局对 Sentinel-1 的官方说明明确指出，其雷达任务能够提供全天时、全天候地表影像[S3]。水体通常在 SAR 图像中呈现较低后向散射，但城市建筑、山体阴影、湿润土壤、风浪水面和植被覆盖会造成混淆，仅靠单时相阈值或单幅图像分割容易产生误报与漏报。因此，如何利用灾前与灾中影像之间的变化关系，并引入地形对积水与径流的空间约束，是提升洪涝识别可靠性和解释性的关键方向。</w:t>
      </w:r>
    </w:p>
    <w:p>
      <w:pPr>
        <w:widowControl/>
      </w:pPr>
      <w:r>
        <w:rPr>
          <w:rFonts w:ascii="Times New Roman" w:hAnsi="Times New Roman" w:eastAsia="宋体"/>
          <w:b w:val="0"/>
          <w:color w:val="000000"/>
          <w:sz w:val="21"/>
        </w:rPr>
        <w:t>“洪析先知——基于早期多时相 SAR 与地形先验的洪涝灾害演化智能预测系统”由此提出。项目拟在洪涝发生后的早期阶段，以灾前 SAR、首次可用的灾中 SAR 和数字高程模型（DEM）为主要输入，先生成像素级洪水范围，再在事件尺度聚合淹没面积与影响比例，输出“一般、严重、非常严重”三级风险信息。当数据能够证明早期观测与后期目标之间存在稳定、无信息泄漏的时间关系时，系统进一步预测后续可能受影响的空间范围；若该关系不成立，则项目如实退回到“多时相 SAR 洪涝智能评估”任务，不把当前状态识别包装成未来预测。这一可审计的任务边界是项目可信性的起点。</w:t>
      </w:r>
    </w:p>
    <w:p>
      <w:pPr>
        <w:pStyle w:val="Heading3"/>
        <w:keepNext/>
        <w:keepLines/>
        <w:widowControl/>
      </w:pPr>
      <w:r>
        <w:rPr>
          <w:rFonts w:ascii="Times New Roman" w:hAnsi="Times New Roman" w:eastAsia="宋体"/>
          <w:b/>
          <w:color w:val="000000"/>
          <w:sz w:val="24"/>
        </w:rPr>
        <w:t>1.1.2 项目起因与核心问题</w:t>
      </w:r>
    </w:p>
    <w:p>
      <w:pPr>
        <w:widowControl/>
      </w:pPr>
      <w:r>
        <w:rPr>
          <w:rFonts w:ascii="Times New Roman" w:hAnsi="Times New Roman" w:eastAsia="宋体"/>
          <w:b w:val="0"/>
          <w:color w:val="000000"/>
          <w:sz w:val="21"/>
        </w:rPr>
        <w:t>项目灵感来自应急遥感中“图到得了，但决策信息仍来得不够早”的现实矛盾。现有快速制图服务多以灾后或灾中已发生范围的制作为主要目标，例如 Copernicus Emergency Management Service 的 Rapid Mapping 面向灾害发生后数小时至数日提供应急地理信息产品[S4]。这类产品对救援和损失评估具有重要价值，但从智能系统设计角度看，仍有必要把能力进一步向早期变化识别、后续影响推演和事件级风险表达延伸。项目不试图替代专业水文预报，也不直接给出人员伤亡或经济损失结论，而是定位为“遥感证据驱动的空间辅助决策工具”，向应急人员提供可核验的洪水范围、变化区域、置信度和风险等级。</w:t>
      </w:r>
    </w:p>
    <w:p>
      <w:pPr>
        <w:widowControl/>
      </w:pPr>
      <w:r>
        <w:rPr>
          <w:rFonts w:ascii="Times New Roman" w:hAnsi="Times New Roman" w:eastAsia="宋体"/>
          <w:b w:val="0"/>
          <w:color w:val="000000"/>
          <w:sz w:val="21"/>
        </w:rPr>
        <w:t>围绕这一定位，项目集中解决四个相互衔接的问题。第一，ImpactMesh-Flood 的 pre-month、pre-event、event、post-event 四时相是否具有一致、可用于监督学习的时间语义，洪水标注究竟对应哪个时刻；第二，灾前与灾中 SAR 的差异是否比单时相 SAR 更能区分永久水体、湿润地表与新增淹没区；第三，DEM 所包含的高程、坡度和低洼信息能否为模型提供稳定的空间约束，而不是成为简单拼接后被网络忽略的附加通道；第四，如何把像素级分割结果转化为事件尺度、可复现的三级严重度，使输出更贴近应急管理语言。四个问题依次对应数据可信、特征有效、模型可解释和结果可用，任何一环未经验证，都不能直接跳到复杂模型或展示性结论。</w:t>
      </w:r>
    </w:p>
    <w:p>
      <w:pPr>
        <w:pStyle w:val="Heading3"/>
        <w:keepNext/>
        <w:keepLines/>
        <w:widowControl/>
      </w:pPr>
      <w:r>
        <w:rPr>
          <w:rFonts w:ascii="Times New Roman" w:hAnsi="Times New Roman" w:eastAsia="宋体"/>
          <w:b/>
          <w:color w:val="000000"/>
          <w:sz w:val="24"/>
        </w:rPr>
        <w:t>1.1.3 已有工作基础与团队组织</w:t>
      </w:r>
    </w:p>
    <w:p>
      <w:pPr>
        <w:widowControl/>
      </w:pPr>
      <w:r>
        <w:rPr>
          <w:rFonts w:ascii="Times New Roman" w:hAnsi="Times New Roman" w:eastAsia="宋体"/>
          <w:b w:val="0"/>
          <w:color w:val="000000"/>
          <w:sz w:val="21"/>
        </w:rPr>
        <w:t>现阶段已经形成一套可执行的阶段一实施方案和最小验证闭环，工作基础主要体现在五个方面。其一，完成了数据源初选，确定以 ImpactMesh-Flood v1 为主数据集，优先使用其中的 Sentinel-1 RTC SAR、Copernicus DEM 与 Copernicus EMS 洪水标注，不在第一阶段同时引入光学、降雨、土壤湿度等额外变量，以控制问题复杂度。其二，建立了“数据读取与可视化—时相与标签核验—单时相 U-Net 基线—加入 DEM—加入灾前 SAR—事件级严重度—预测任务判定”的递进路线。其三，设计了 E0 至 E3 四组可比较实验：E0 仅使用 event SAR，E1 使用 event SAR 与 DEM，E2 使用 pre-event 与 event SAR，E3 同时使用 pre-event、event 和 DEM，从而分别检验地形先验和多时相信息的增益。其四，明确以 IoU、Dice/F1、Precision、Recall 为核心评价指标，Accuracy 只作辅助，避免类别极不平衡时出现“整体准确率高但洪水区域识别差”的假象。其五，形成了数据泄漏防控原则，即训练、验证和测试尽量按洪水事件划分，同一事件的相邻图块不得跨集合分配，严重度阈值只在训练集事件上确定。</w:t>
      </w:r>
    </w:p>
    <w:p>
      <w:pPr>
        <w:widowControl/>
      </w:pPr>
      <w:r>
        <w:rPr>
          <w:rFonts w:ascii="Times New Roman" w:hAnsi="Times New Roman" w:eastAsia="宋体"/>
          <w:b w:val="0"/>
          <w:color w:val="000000"/>
          <w:sz w:val="21"/>
        </w:rPr>
        <w:t>团队在本阶段采用四类角色协同：遥感与地理信息角色负责影像读取、坐标参考、时相元数据、DEM/MASK 对齐和样本质量核验；算法角色负责数据预处理、分割模型、损失函数、消融实验与误差分析；系统工程角色负责推理接口、模型封装、可视化和轻量演示端；项目与材料角色负责需求访谈、版本记录、指标归档、作品文档和视频表达。角色可以由成员兼岗，但每项数据判断、实验配置和文档结论均需有责任人和复核人，确保团队构成不是简单“分工列表”，而是能够支撑可复现研发的协作机制。</w:t>
      </w:r>
    </w:p>
    <w:p>
      <w:pPr>
        <w:pStyle w:val="Heading3"/>
        <w:keepNext/>
        <w:keepLines/>
        <w:widowControl/>
      </w:pPr>
      <w:r>
        <w:rPr>
          <w:rFonts w:ascii="Times New Roman" w:hAnsi="Times New Roman" w:eastAsia="宋体"/>
          <w:b/>
          <w:color w:val="000000"/>
          <w:sz w:val="24"/>
        </w:rPr>
        <w:t>1.1.4 任务边界与创新主张</w:t>
      </w:r>
    </w:p>
    <w:p>
      <w:pPr>
        <w:widowControl/>
      </w:pPr>
      <w:r>
        <w:rPr>
          <w:rFonts w:ascii="Times New Roman" w:hAnsi="Times New Roman" w:eastAsia="宋体"/>
          <w:b w:val="0"/>
          <w:color w:val="000000"/>
          <w:sz w:val="21"/>
        </w:rPr>
        <w:t>项目的创新性不是简单地把更多通道输入网络，也不是把 U-Net 更名为“预测大模型”，而是围绕可靠的早期洪涝空间推演建立一条完整证据链。第一，建立严格的时间因果边界：模型输入只能来自目标时刻之前，先用事件级时间表和至少二十个事件的六联图核验 pre-month、pre-event、event、post-event 与 MASK 的真实关系；如后期影像已属于洪水消退阶段，或标注只对应 event 当前状态，则停止使用“未来预测”表述。第二，采用可解释的渐进式融合：从单时相基线开始，每增加 DEM 或灾前 SAR 都必须通过同数据划分、同训练策略和多随机种子的消融实验验证，避免复杂结构掩盖数据问题。第三，将像素级结果提升到事件级风险表达，通过“新增淹没有效面积÷研究区有效陆地面积”形成洪水影响比例，并仅使用训练集分布确定三级阈值，减少人为主观标注。第四，设置可降级路线：预测条件不成立时，仍可交付可信的当前洪水分割、变化检测和严重度评估模块，使项目不会因一个未经证实的标签假设整体失效。</w:t>
      </w:r>
    </w:p>
    <w:p>
      <w:pPr>
        <w:widowControl/>
      </w:pPr>
      <w:r>
        <w:rPr>
          <w:rFonts w:ascii="Times New Roman" w:hAnsi="Times New Roman" w:eastAsia="宋体"/>
          <w:b w:val="0"/>
          <w:color w:val="000000"/>
          <w:sz w:val="21"/>
        </w:rPr>
        <w:t>上述创新点与已有工作形成明确差异。Sen1Floods11 为 Sentinel-1 洪水分割提供了经典基准，其论文数据覆盖 11 场洪水事件，重点是当前洪水与永久水体的像素级识别[S5]；Kuro Siwo 强调多时相 SAR 快速洪水制图，覆盖 43 场洪水事件并提供系统基准[S6]。本项目吸收这些工作的分割与多时相思想，但把重点放在 ImpactMesh-Flood 更大规模事件数据上的“时间语义核验—地形先验—早期到后期边界—事件级严重度”联合闭环。项目不声称在尚未实验前超越现有方法，而是通过公开基线、严格对照、失败条件和可复现配置证明每个新增设计是否真正有效。</w:t>
      </w:r>
    </w:p>
    <w:p>
      <w:pPr>
        <w:pStyle w:val="Heading2"/>
        <w:keepNext/>
        <w:keepLines/>
        <w:widowControl/>
      </w:pPr>
      <w:r>
        <w:rPr>
          <w:rFonts w:ascii="Times New Roman" w:hAnsi="Times New Roman" w:eastAsia="宋体"/>
          <w:b/>
          <w:color w:val="000000"/>
          <w:sz w:val="28"/>
        </w:rPr>
        <w:t>1.2 场景和价值</w:t>
      </w:r>
    </w:p>
    <w:p>
      <w:pPr>
        <w:pStyle w:val="Heading3"/>
        <w:keepNext/>
        <w:keepLines/>
        <w:widowControl/>
      </w:pPr>
      <w:r>
        <w:rPr>
          <w:rFonts w:ascii="Times New Roman" w:hAnsi="Times New Roman" w:eastAsia="宋体"/>
          <w:b/>
          <w:color w:val="000000"/>
          <w:sz w:val="24"/>
        </w:rPr>
        <w:t>1.2.1 典型应用场景</w:t>
      </w:r>
    </w:p>
    <w:p>
      <w:pPr>
        <w:widowControl/>
      </w:pPr>
      <w:r>
        <w:rPr>
          <w:rFonts w:ascii="Times New Roman" w:hAnsi="Times New Roman" w:eastAsia="宋体"/>
          <w:b w:val="0"/>
          <w:color w:val="000000"/>
          <w:sz w:val="21"/>
        </w:rPr>
        <w:t>场景一是应急管理部门的灾中快速研判。洪涝发生后，系统接收同一区域的灾前 SAR、早期灾中 SAR 和 DEM，自动完成标准化、空间对齐、分块推理与结果拼接，生成洪水概率图、二值范围图、与灾前相比的新增淹没区以及事件级风险等级。值班人员可以同时查看原始影像、模型结果与置信度，对低置信区域进行人工复核，并将结果叠加到行政区、道路、居民点和重要设施底图上。系统输出不是替代指挥命令，而是用于缩小核查范围、辅助确定无人机复核区域和救援资源优先级。</w:t>
      </w:r>
    </w:p>
    <w:p>
      <w:pPr>
        <w:widowControl/>
      </w:pPr>
      <w:r>
        <w:rPr>
          <w:rFonts w:ascii="Times New Roman" w:hAnsi="Times New Roman" w:eastAsia="宋体"/>
          <w:b w:val="0"/>
          <w:color w:val="000000"/>
          <w:sz w:val="21"/>
        </w:rPr>
        <w:t>场景二是水利、交通和自然资源部门的跨区域态势感知。对水库下游、河流沿线、山区沟谷、城市低洼区和交通走廊，可将模型结果与地形、河网和基础设施图层结合，识别可能连续扩展的积水带和被洪水切断的关键节点。相比只提供单幅洪水掩膜，项目强调灾前—灾中变化和地形背景，能够帮助专业人员区分永久水面与新增积水，理解结果为什么集中在某些低洼或平缓区域，并为现场监测布点和线路绕行提供线索。</w:t>
      </w:r>
    </w:p>
    <w:p>
      <w:pPr>
        <w:widowControl/>
      </w:pPr>
      <w:r>
        <w:rPr>
          <w:rFonts w:ascii="Times New Roman" w:hAnsi="Times New Roman" w:eastAsia="宋体"/>
          <w:b w:val="0"/>
          <w:color w:val="000000"/>
          <w:sz w:val="21"/>
        </w:rPr>
        <w:t>场景三是灾后复盘、保险核验和科研评估。事件结束后，可把模型预测、人工复核结果与官方标注按事件归档，计算不同地貌、不同成像条件和不同洪水规模下的 IoU、Dice、Precision、Recall，以及误报与漏报的空间分布。保险与风险管理机构可将淹没范围作为调查线索，但不能仅凭模型直接认定责任或赔付金额；科研与教学团队则可利用标准化实验记录开展跨区域泛化、标签噪声和多时相学习研究。该场景使系统不仅服务一次展示，还能持续积累可追溯的案例库。</w:t>
      </w:r>
    </w:p>
    <w:p>
      <w:pPr>
        <w:widowControl/>
      </w:pPr>
      <w:r>
        <w:rPr>
          <w:rFonts w:ascii="Times New Roman" w:hAnsi="Times New Roman" w:eastAsia="宋体"/>
          <w:b w:val="0"/>
          <w:color w:val="000000"/>
          <w:sz w:val="21"/>
        </w:rPr>
        <w:t>场景四是竞赛演示与轻量化应用。项目计划开发 Web Demo，用户选择或上传合规的 SAR 与 DEM 数据后，可查看输入时相、模型预测、真实标签对比、指标和事件级严重度。演示端突出三件事：模型看到了哪些时相信息，加入 DEM 或灾前 SAR 后结果发生了什么变化，以及当前输出属于“状态评估”还是经时间标签验证后的“演化预测”。这种界面既能体现人工智能推理效果，也能主动暴露任务边界，避免只展示一张看似准确却无法解释来源的彩色图。</w:t>
      </w:r>
    </w:p>
    <w:p>
      <w:pPr>
        <w:pStyle w:val="Heading3"/>
        <w:keepNext/>
        <w:keepLines/>
        <w:widowControl/>
      </w:pPr>
      <w:r>
        <w:rPr>
          <w:rFonts w:ascii="Times New Roman" w:hAnsi="Times New Roman" w:eastAsia="宋体"/>
          <w:b/>
          <w:color w:val="000000"/>
          <w:sz w:val="24"/>
        </w:rPr>
        <w:t>1.2.2 社会价值与应用价值</w:t>
      </w:r>
    </w:p>
    <w:p>
      <w:pPr>
        <w:widowControl/>
      </w:pPr>
      <w:r>
        <w:rPr>
          <w:rFonts w:ascii="Times New Roman" w:hAnsi="Times New Roman" w:eastAsia="宋体"/>
          <w:b w:val="0"/>
          <w:color w:val="000000"/>
          <w:sz w:val="21"/>
        </w:rPr>
        <w:t>项目的首要社会价值是提升恶劣天气条件下的大范围信息获取能力。洪涝往往伴随厚云、降雨和夜间过程，SAR 的全天时、全天候特性能够补充光学影像空缺。若系统能够在首次可用灾中影像到达后快速形成标准化结果，便可减少人工逐图检索和初筛时间，把有限的专业力量集中到高风险区域的复核与决策。对通信不畅、交通受阻或地面信息零散的区域，这种区域性视角尤其重要。</w:t>
      </w:r>
    </w:p>
    <w:p>
      <w:pPr>
        <w:widowControl/>
      </w:pPr>
      <w:r>
        <w:rPr>
          <w:rFonts w:ascii="Times New Roman" w:hAnsi="Times New Roman" w:eastAsia="宋体"/>
          <w:b w:val="0"/>
          <w:color w:val="000000"/>
          <w:sz w:val="21"/>
        </w:rPr>
        <w:t>第二项价值是提高灾情判断的一致性与可复核性。项目将数据版本、事件划分、预处理参数、模型权重、阈值和评价指标统一归档，输出既包含洪水范围，也包含概率、对照实验和失败案例。相较于完全依赖个人经验的目视判读，标准化流程能够减少不同人员、不同批次之间的口径波动；相较于无法解释的单一等级，事件级影响比例和固定阈值使“一般、严重、非常严重”的来源可以追溯。系统仍保留人工复核环节，特别是城市、山地阴影、植被淹没等 SAR 易混淆区域。</w:t>
      </w:r>
    </w:p>
    <w:p>
      <w:pPr>
        <w:widowControl/>
      </w:pPr>
      <w:r>
        <w:rPr>
          <w:rFonts w:ascii="Times New Roman" w:hAnsi="Times New Roman" w:eastAsia="宋体"/>
          <w:b w:val="0"/>
          <w:color w:val="000000"/>
          <w:sz w:val="21"/>
        </w:rPr>
        <w:t>第三项价值是降低技术试用门槛并增强跨区域迁移能力。项目使用公开数据、开源代码和可复现配置，从标准 U-Net 建立性能下限，再逐步验证多时相与 DEM 的作用。这样既适合研究生团队在有限算力下实现，也便于后续替换为双分支网络、注意力融合或遥感基础模型。按事件划分训练与测试、报告不同地貌子集结果，有助于尽早暴露“只记住某一地区纹理”的问题，为未来接入本地数据和行业系统提供更真实的迁移依据。</w:t>
      </w:r>
    </w:p>
    <w:p>
      <w:pPr>
        <w:widowControl/>
      </w:pPr>
      <w:r>
        <w:rPr>
          <w:rFonts w:ascii="Times New Roman" w:hAnsi="Times New Roman" w:eastAsia="宋体"/>
          <w:b w:val="0"/>
          <w:color w:val="000000"/>
          <w:sz w:val="21"/>
        </w:rPr>
        <w:t>第四项价值是形成从科研指标到应急语言的转换。像素级 IoU 对算法研究重要，但应急人员更关心受影响面积、扩展方向、重要目标和严重程度。项目通过图块拼接、事件聚合、有效陆地掩膜和三级风险规则，把模型结果转化为更易理解的空间产品；同时明确不把严重度等同于人员伤亡或经济损失，避免模型输出超出证据能力。该设计有利于在人工智能创新展示中兼顾技术深度、实际需求和伦理边界。</w:t>
      </w:r>
    </w:p>
    <w:p>
      <w:pPr>
        <w:pStyle w:val="Heading3"/>
        <w:keepNext/>
        <w:keepLines/>
        <w:widowControl/>
      </w:pPr>
      <w:r>
        <w:rPr>
          <w:rFonts w:ascii="Times New Roman" w:hAnsi="Times New Roman" w:eastAsia="宋体"/>
          <w:b/>
          <w:color w:val="000000"/>
          <w:sz w:val="24"/>
        </w:rPr>
        <w:t>1.2.3 技术调研与同类方案对比</w:t>
      </w:r>
    </w:p>
    <w:tbl>
      <w:tblPr>
        <w:tblStyle w:val="TableGrid"/>
        <w:tblW w:type="dxa" w:w="8312"/>
        <w:jc w:val="left"/>
        <w:tblLayout w:type="fixed"/>
        <w:tblLook w:firstColumn="1" w:firstRow="1" w:lastColumn="0" w:lastRow="0" w:noHBand="0" w:noVBand="1" w:val="04A0"/>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2100"/>
        <w:gridCol w:w="2200"/>
        <w:gridCol w:w="2712"/>
      </w:tblGrid>
      <w:tr>
        <w:trPr>
          <w:tblHeader w:val="true"/>
        </w:trP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方案类别</w:t>
            </w:r>
          </w:p>
        </w:tc>
        <w:tc>
          <w:tcPr>
            <w:tcW w:type="dxa" w:w="21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主要优势</w:t>
            </w:r>
          </w:p>
        </w:tc>
        <w:tc>
          <w:tcPr>
            <w:tcW w:type="dxa" w:w="22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典型局限</w:t>
            </w:r>
          </w:p>
        </w:tc>
        <w:tc>
          <w:tcPr>
            <w:tcW w:type="dxa" w:w="2712"/>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本项目的对应设计</w:t>
            </w:r>
          </w:p>
        </w:tc>
      </w:tr>
      <w:t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地面巡查、无人机与人工判读</w:t>
            </w:r>
          </w:p>
        </w:tc>
        <w:tc>
          <w:tcPr>
            <w:tcW w:type="dxa" w:w="21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局部信息精细，专业人员可结合现场语境</w:t>
            </w:r>
          </w:p>
        </w:tc>
        <w:tc>
          <w:tcPr>
            <w:tcW w:type="dxa" w:w="22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覆盖有限，受交通、天气、通信和人员安全影响，区域汇总耗时</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先由卫星模型进行大范围筛查，再把低置信或高风险区域交给人工和无人机复核</w:t>
            </w:r>
          </w:p>
        </w:tc>
      </w:tr>
      <w:t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光学卫星洪水识别</w:t>
            </w:r>
          </w:p>
        </w:tc>
        <w:tc>
          <w:tcPr>
            <w:tcW w:type="dxa" w:w="21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图像直观，光谱信息丰富，便于人眼解释</w:t>
            </w:r>
          </w:p>
        </w:tc>
        <w:tc>
          <w:tcPr>
            <w:tcW w:type="dxa" w:w="22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云层、降雨和夜间限制明显，灾时可能缺少可用影像</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以 Sentinel-1 SAR 为主，保留后续融合光学的接口，但不把光学数据作为第一阶段前提</w:t>
            </w:r>
          </w:p>
        </w:tc>
      </w:tr>
      <w:t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单时相 SAR 阈值或分割</w:t>
            </w:r>
          </w:p>
        </w:tc>
        <w:tc>
          <w:tcPr>
            <w:tcW w:type="dxa" w:w="21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流程简单、推理快速，可建立稳定基线</w:t>
            </w:r>
          </w:p>
        </w:tc>
        <w:tc>
          <w:tcPr>
            <w:tcW w:type="dxa" w:w="22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容易混淆永久水体、山体阴影、湿土和城市散射，缺少变化证据</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设置 E0 单时相基线，并用灾前 SAR 的差异信息验证是否减少误报和漏报</w:t>
            </w:r>
          </w:p>
        </w:tc>
      </w:tr>
      <w:t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多时相 SAR 快速制图</w:t>
            </w:r>
          </w:p>
        </w:tc>
        <w:tc>
          <w:tcPr>
            <w:tcW w:type="dxa" w:w="21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能利用灾前后变化，已有 Kuro Siwo 等公开研究基础</w:t>
            </w:r>
          </w:p>
        </w:tc>
        <w:tc>
          <w:tcPr>
            <w:tcW w:type="dxa" w:w="22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多数任务聚焦灾后/灾中范围制图，时间间隔和标签语义可能不一致</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先做事件级时间核验，再决定能否从制图升级为早期到后期推演；不满足条件时主动降级</w:t>
            </w:r>
          </w:p>
        </w:tc>
      </w:tr>
      <w:t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水动力学或降雨驱动模型</w:t>
            </w:r>
          </w:p>
        </w:tc>
        <w:tc>
          <w:tcPr>
            <w:tcW w:type="dxa" w:w="21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物理机制明确，可模拟水流过程和情景</w:t>
            </w:r>
          </w:p>
        </w:tc>
        <w:tc>
          <w:tcPr>
            <w:tcW w:type="dxa" w:w="22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依赖降雨、河网、边界条件、参数率定与高质量地形，快速跨区部署成本较高</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本阶段以观测驱动为主，引入 DEM 提供弱物理约束；未来可与水文模型或降雨数据融合，而非宣称替代</w:t>
            </w:r>
          </w:p>
        </w:tc>
      </w:tr>
      <w:tr>
        <w:tc>
          <w:tcPr>
            <w:tcW w:type="dxa" w:w="130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遥感基础模型/复杂注意力网络</w:t>
            </w:r>
          </w:p>
        </w:tc>
        <w:tc>
          <w:tcPr>
            <w:tcW w:type="dxa" w:w="21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表征能力强，具备迁移潜力</w:t>
            </w:r>
          </w:p>
        </w:tc>
        <w:tc>
          <w:tcPr>
            <w:tcW w:type="dxa" w:w="2200"/>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算力和调参成本高，若数据链路未验证，难以判断收益来自何处</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先用 U-Net 和通道拼接形成可解释下限，只有 E0-E3 结果稳定后才引入双分支、Cross-Attention 或 TerraMind</w:t>
            </w:r>
          </w:p>
        </w:tc>
      </w:tr>
    </w:tbl>
    <w:p>
      <w:pPr>
        <w:spacing w:after="0" w:lineRule="exact" w:line="80"/>
      </w:pPr>
    </w:p>
    <w:p>
      <w:pPr>
        <w:widowControl/>
      </w:pPr>
      <w:r>
        <w:rPr>
          <w:rFonts w:ascii="Times New Roman" w:hAnsi="Times New Roman" w:eastAsia="宋体"/>
          <w:b w:val="0"/>
          <w:color w:val="000000"/>
          <w:sz w:val="21"/>
        </w:rPr>
        <w:t>从对比可见，项目的竞争力不依赖单个新奇网络名称，而来自任务定义、数据检查、递进式实验和应用输出的协同。其一，项目以“是否存在合法的早期输入和后期目标”为立项门槛，从源头防止时间穿越；其二，使用同一数据划分比较单时相、地形、多时相和联合输入，能够量化每类信息的边际贡献；其三，输出像素级洪水范围和事件级严重度两个层次，兼顾算法评价与应急表达；其四，明确困难样本、置信度和人工复核机制，不把模型结果当作无条件正确的事实。</w:t>
      </w:r>
    </w:p>
    <w:p>
      <w:pPr>
        <w:pStyle w:val="Heading3"/>
        <w:keepNext/>
        <w:keepLines/>
        <w:widowControl/>
      </w:pPr>
      <w:r>
        <w:rPr>
          <w:rFonts w:ascii="Times New Roman" w:hAnsi="Times New Roman" w:eastAsia="宋体"/>
          <w:b/>
          <w:color w:val="000000"/>
          <w:sz w:val="24"/>
        </w:rPr>
        <w:t>1.2.4 推理效果与验收指标</w:t>
      </w:r>
    </w:p>
    <w:p>
      <w:pPr>
        <w:widowControl/>
      </w:pPr>
      <w:r>
        <w:rPr>
          <w:rFonts w:ascii="Times New Roman" w:hAnsi="Times New Roman" w:eastAsia="宋体"/>
          <w:b w:val="0"/>
          <w:color w:val="000000"/>
          <w:sz w:val="21"/>
        </w:rPr>
        <w:t>项目目前处于可行性验证阶段，尚未形成可用于参赛申报的最终实测结果，因此本节只给出将被严格执行的推理输出和验收目标，不以“待测”冒充“已达到”。正式提交前，所有数值应由固定数据版本、固定事件划分和可复现代码实际计算，并同时报告均值、波动和典型失败案例。</w:t>
      </w:r>
    </w:p>
    <w:p>
      <w:pPr>
        <w:widowControl/>
      </w:pPr>
      <w:r>
        <w:rPr>
          <w:rFonts w:ascii="Times New Roman" w:hAnsi="Times New Roman" w:eastAsia="宋体"/>
          <w:b w:val="0"/>
          <w:color w:val="000000"/>
          <w:sz w:val="21"/>
        </w:rPr>
        <w:t>推理端计划输出四类结果：一是像素级洪水概率图和二值 Flood Mask；二是相对于灾前状态的新增淹没区域；三是按同一洪水事件聚合后的淹没面积、洪水影响比例和三级严重度；四是模型版本、输入时相、推理时间、置信度与是否满足“预测”时间边界的元数据。系统不只输出最终彩色掩膜，还应保留中间证据，便于人工复核和复现实验。</w:t>
      </w:r>
    </w:p>
    <w:tbl>
      <w:tblPr>
        <w:tblStyle w:val="TableGrid"/>
        <w:tblW w:type="dxa" w:w="8312"/>
        <w:jc w:val="left"/>
        <w:tblLayout w:type="fixed"/>
        <w:tblLook w:firstColumn="1" w:firstRow="1" w:lastColumn="0" w:lastRow="0" w:noHBand="0" w:noVBand="1" w:val="04A0"/>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0"/>
        <w:gridCol w:w="4350"/>
        <w:gridCol w:w="2712"/>
      </w:tblGrid>
      <w:tr>
        <w:trPr>
          <w:tblHeader w:val="true"/>
        </w:trP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维度</w:t>
            </w:r>
          </w:p>
        </w:tc>
        <w:tc>
          <w:tcPr>
            <w:tcW w:type="dxa" w:w="4349"/>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指标与验收目标</w:t>
            </w:r>
          </w:p>
        </w:tc>
        <w:tc>
          <w:tcPr>
            <w:tcW w:type="dxa" w:w="2712"/>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color w:val="000000"/>
                <w:sz w:val="18"/>
              </w:rPr>
              <w:t>说明</w:t>
            </w:r>
          </w:p>
        </w:tc>
      </w:tr>
      <w:t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分割质量</w:t>
            </w:r>
          </w:p>
        </w:tc>
        <w:tc>
          <w:tcPr>
            <w:tcW w:type="dxa" w:w="4349"/>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以洪水类别 IoU 为主，Dice/F1、Precision、Recall 为辅；Accuracy 仅作补充</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至少在 E0-E3 四组实验上使用完全一致的数据划分和评价代码</w:t>
            </w:r>
          </w:p>
        </w:tc>
      </w:tr>
      <w:t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信息增益</w:t>
            </w:r>
          </w:p>
        </w:tc>
        <w:tc>
          <w:tcPr>
            <w:tcW w:type="dxa" w:w="4349"/>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E3 相对 E0 的 IoU 目标提升不少于 2 个百分点，且在不少于 3 个随机种子和多个独立事件上方向一致</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若 DEM 或灾前 SAR 无稳定增益，应如实报告并分析对齐、归一化、地貌差异和融合方式</w:t>
            </w:r>
          </w:p>
        </w:tc>
      </w:tr>
      <w:t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泛化能力</w:t>
            </w:r>
          </w:p>
        </w:tc>
        <w:tc>
          <w:tcPr>
            <w:tcW w:type="dxa" w:w="4349"/>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按事件划分训练、验证和测试，单独报告城市、平原、山地或不同地区子集表现</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禁止同一事件的相邻图块跨集合造成空间泄漏</w:t>
            </w:r>
          </w:p>
        </w:tc>
      </w:tr>
      <w:t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严重度一致性</w:t>
            </w:r>
          </w:p>
        </w:tc>
        <w:tc>
          <w:tcPr>
            <w:tcW w:type="dxa" w:w="4349"/>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训练集确定阈值，验证/测试集固定使用；报告事件级混淆矩阵、宏平均 F1 与等级偏差</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严重度按事件聚合，不按单个小图块独立定义</w:t>
            </w:r>
          </w:p>
        </w:tc>
      </w:tr>
      <w:t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推理效率</w:t>
            </w:r>
          </w:p>
        </w:tc>
        <w:tc>
          <w:tcPr>
            <w:tcW w:type="dxa" w:w="4349"/>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在单张主流 16 GB 显存 GPU 上，完成单图块推理目标不高于 1 秒；同时记录端到端预处理、拼接与导出耗时</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最终以实际硬件和真实图块尺寸复测，不引用原始 U-Net 论文速度替代本项目结果</w:t>
            </w:r>
          </w:p>
        </w:tc>
      </w:tr>
      <w:tr>
        <w:tc>
          <w:tcPr>
            <w:tcW w:type="dxa" w:w="1250"/>
            <w:tcMar>
              <w:top w:w="80" w:type="dxa"/>
              <w:start w:w="90" w:type="dxa"/>
              <w:bottom w:w="80" w:type="dxa"/>
              <w:end w:w="90" w:type="dxa"/>
            </w:tcMar>
            <w:vAlign w:val="center"/>
          </w:tcPr>
          <w:p>
            <w:pPr>
              <w:spacing w:before="0" w:after="0" w:lineRule="exact" w:line="300"/>
              <w:ind w:firstLine="0"/>
              <w:jc w:val="center"/>
              <w:keepLines/>
              <w:widowControl/>
            </w:pPr>
            <w:r>
              <w:rPr>
                <w:rFonts w:ascii="Times New Roman" w:hAnsi="Times New Roman" w:eastAsia="宋体"/>
                <w:b w:val="0"/>
                <w:color w:val="000000"/>
                <w:sz w:val="18"/>
              </w:rPr>
              <w:t>结果可审计</w:t>
            </w:r>
          </w:p>
        </w:tc>
        <w:tc>
          <w:tcPr>
            <w:tcW w:type="dxa" w:w="4349"/>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每次推理保存数据版本、事件 ID、时间戳、模型权重校验值、阈值和配置文件</w:t>
            </w:r>
          </w:p>
        </w:tc>
        <w:tc>
          <w:tcPr>
            <w:tcW w:type="dxa" w:w="2712"/>
            <w:tcMar>
              <w:top w:w="80" w:type="dxa"/>
              <w:start w:w="90" w:type="dxa"/>
              <w:bottom w:w="80" w:type="dxa"/>
              <w:end w:w="90" w:type="dxa"/>
            </w:tcMar>
            <w:vAlign w:val="center"/>
          </w:tcPr>
          <w:p>
            <w:pPr>
              <w:spacing w:before="0" w:after="0" w:lineRule="exact" w:line="300"/>
              <w:ind w:firstLine="0"/>
              <w:jc w:val="left"/>
              <w:keepLines/>
              <w:widowControl/>
            </w:pPr>
            <w:r>
              <w:rPr>
                <w:rFonts w:ascii="Times New Roman" w:hAnsi="Times New Roman" w:eastAsia="宋体"/>
                <w:b w:val="0"/>
                <w:color w:val="000000"/>
                <w:sz w:val="18"/>
              </w:rPr>
              <w:t>使展示结果能够回溯到原始输入和实验配置</w:t>
            </w:r>
          </w:p>
        </w:tc>
      </w:tr>
    </w:tbl>
    <w:p>
      <w:pPr>
        <w:spacing w:after="0" w:lineRule="exact" w:line="80"/>
      </w:pPr>
    </w:p>
    <w:p>
      <w:pPr>
        <w:widowControl/>
      </w:pPr>
      <w:r>
        <w:rPr>
          <w:rFonts w:ascii="Times New Roman" w:hAnsi="Times New Roman" w:eastAsia="宋体"/>
          <w:b w:val="0"/>
          <w:color w:val="000000"/>
          <w:sz w:val="21"/>
        </w:rPr>
        <w:t>在误差分析方面，项目将重点检查五类情况：山体阴影被误判为水体、永久水面被计入新增淹没、城市双程散射导致漏检、植被覆盖下的积水难以识别、不同事件的成像角度或时间间隔造成域偏移。每类至少保留典型成功与失败样本，解释加入灾前信息或 DEM 后哪些区域得到改善、哪些问题仍然存在。只有当这些可视化与定量指标相互一致时，才把模型改动认定为有效。</w:t>
      </w:r>
    </w:p>
    <w:p>
      <w:pPr>
        <w:pStyle w:val="Heading3"/>
        <w:keepNext/>
        <w:keepLines/>
        <w:widowControl/>
      </w:pPr>
      <w:r>
        <w:rPr>
          <w:rFonts w:ascii="Times New Roman" w:hAnsi="Times New Roman" w:eastAsia="宋体"/>
          <w:b/>
          <w:color w:val="000000"/>
          <w:sz w:val="24"/>
        </w:rPr>
        <w:t>1.2.5 应用推进路径</w:t>
      </w:r>
    </w:p>
    <w:p>
      <w:pPr>
        <w:widowControl/>
      </w:pPr>
      <w:r>
        <w:rPr>
          <w:rFonts w:ascii="Times New Roman" w:hAnsi="Times New Roman" w:eastAsia="宋体"/>
          <w:b w:val="0"/>
          <w:color w:val="000000"/>
          <w:sz w:val="21"/>
        </w:rPr>
        <w:t>项目的应用推进分为三个层级。第一层是离线技术验证：完成数据核验、E0-E3 消融、指标统计和二十组以上典型事件可视化，证明模型链路与任务边界可信。第二层是交互式原型：将最优模型封装为 Web 服务，支持选择事件、查看多时相影像、叠加 DEM、运行推理和导出结果；演示端提供“当前评估/演化预测”醒目标识。第三层是行业试用：在获得本地管理部门或合作单位授权后，以历史事件开展回放验证，结合道路、居民点、水利设施等业务图层评估结果是否真正改善核查效率。未经业务验证前，系统不进入自动告警或直接决策环节。</w:t>
      </w:r>
    </w:p>
    <w:p>
      <w:pPr>
        <w:pStyle w:val="Heading2"/>
        <w:keepNext/>
        <w:keepLines/>
        <w:widowControl/>
      </w:pPr>
      <w:r>
        <w:rPr>
          <w:rFonts w:ascii="Times New Roman" w:hAnsi="Times New Roman" w:eastAsia="宋体"/>
          <w:b/>
          <w:color w:val="000000"/>
          <w:sz w:val="28"/>
        </w:rPr>
        <w:t>1.3 所需支持</w:t>
      </w:r>
    </w:p>
    <w:p>
      <w:pPr>
        <w:pStyle w:val="Heading3"/>
        <w:keepNext/>
        <w:keepLines/>
        <w:widowControl/>
      </w:pPr>
      <w:r>
        <w:rPr>
          <w:rFonts w:ascii="Times New Roman" w:hAnsi="Times New Roman" w:eastAsia="宋体"/>
          <w:b/>
          <w:color w:val="000000"/>
          <w:sz w:val="24"/>
        </w:rPr>
        <w:t>1.3.1 数据与标注支持</w:t>
      </w:r>
    </w:p>
    <w:p>
      <w:pPr>
        <w:widowControl/>
      </w:pPr>
      <w:r>
        <w:rPr>
          <w:rFonts w:ascii="Times New Roman" w:hAnsi="Times New Roman" w:eastAsia="宋体"/>
          <w:b w:val="0"/>
          <w:color w:val="000000"/>
          <w:sz w:val="21"/>
        </w:rPr>
        <w:t>项目第一阶段所需数据主要来自 ImpactMesh-Flood v1。根据其官方数据卡，v1 当前包含 27,020 个样本、覆盖 206 场洪水事件，总文件规模约 78.7 GB，提供 train、val、test 和 test_holdout 划分；数据包含四个时间点的 Sentinel-1 RTC SAR、Copernicus DEM 和 Copernicus EMS 洪水标注，数据集许可为 CC-BY 4.0[S1]。IBM 官方代码仓库同时提供数据加载和 TerraTorch 微调配置，代码及模型按 Apache 2.0 许可发布[S2]。正式实验必须锁定 v1 数据清单、下载日期、文件校验值和本地筛选规则，避免数据持续更新造成结果不可复现。</w:t>
      </w:r>
    </w:p>
    <w:p>
      <w:pPr>
        <w:widowControl/>
      </w:pPr>
      <w:r>
        <w:rPr>
          <w:rFonts w:ascii="Times New Roman" w:hAnsi="Times New Roman" w:eastAsia="宋体"/>
          <w:b w:val="0"/>
          <w:color w:val="000000"/>
          <w:sz w:val="21"/>
        </w:rPr>
        <w:t>阶段一不需要一次性下载所有模态。建议先下载 val 或更小子集中的 S1RTC、DEM、MASK，完成读取、可视化和小样本过拟合，再扩展到 train/test。数据处理需要保存原始元数据，包括事件 ID、图块 ID、采集时间、坐标参考系统、空间分辨率、无效值和标注来源。至少对二十个不同事件制作 pre-month、pre-event、event、post-event、DEM、MASK 六联图，人工判断 MASK 对应时刻，并对空间错位、缺失时相、异常散射和标签噪声建立排除或修正规则。若官方时相定义无法支撑统一的后期目标，应选择语义一致的事件子集，或将项目限定为当前洪水评估。</w:t>
      </w:r>
    </w:p>
    <w:p>
      <w:pPr>
        <w:widowControl/>
      </w:pPr>
      <w:r>
        <w:rPr>
          <w:rFonts w:ascii="Times New Roman" w:hAnsi="Times New Roman" w:eastAsia="宋体"/>
          <w:b w:val="0"/>
          <w:color w:val="000000"/>
          <w:sz w:val="21"/>
        </w:rPr>
        <w:t>后续行业试用还需要本地化数据支持，包括经授权的历史洪水范围、河网与水系、行政区、道路、居民点、重要设施、有效陆地掩膜和必要的现场核查记录。这些数据只用于验证或辅助展示，不应在无授权情况下上传到公共服务。若引入降雨、土壤湿度、水位或水文模型结果，必须记录数据的时间分辨率、空间分辨率、许可和质量，并重新设计消融实验，不能把额外数据带来的收益误归因于 SAR 或 DEM。</w:t>
      </w:r>
    </w:p>
    <w:p>
      <w:pPr>
        <w:pStyle w:val="Heading3"/>
        <w:keepNext/>
        <w:keepLines/>
        <w:widowControl/>
      </w:pPr>
      <w:r>
        <w:rPr>
          <w:rFonts w:ascii="Times New Roman" w:hAnsi="Times New Roman" w:eastAsia="宋体"/>
          <w:b/>
          <w:color w:val="000000"/>
          <w:sz w:val="24"/>
        </w:rPr>
        <w:t>1.3.2 行业知识与专家支持</w:t>
      </w:r>
    </w:p>
    <w:p>
      <w:pPr>
        <w:widowControl/>
      </w:pPr>
      <w:r>
        <w:rPr>
          <w:rFonts w:ascii="Times New Roman" w:hAnsi="Times New Roman" w:eastAsia="宋体"/>
          <w:b w:val="0"/>
          <w:color w:val="000000"/>
          <w:sz w:val="21"/>
        </w:rPr>
        <w:t>项目需要遥感、地理信息、水文与应急管理知识的交叉支持。遥感专家主要帮助判断 SAR 的辐射校正、斑点噪声、入射角、地形阴影和城市散射问题；GIS 专家负责坐标参考、重采样、像素级配准、图块拼接和面积计算；水文或水利专家帮助解释低洼、坡度、河网和汇流关系，评估 DEM 融合是否符合基本物理常识；应急管理人员则用于校验产品形态、风险等级语言、人工复核流程和输出时效是否贴合业务。专家支持的重点不是替团队“给出答案”，而是为数据筛选、失败案例和应用边界提供独立复核。</w:t>
      </w:r>
    </w:p>
    <w:p>
      <w:pPr>
        <w:widowControl/>
      </w:pPr>
      <w:r>
        <w:rPr>
          <w:rFonts w:ascii="Times New Roman" w:hAnsi="Times New Roman" w:eastAsia="宋体"/>
          <w:b w:val="0"/>
          <w:color w:val="000000"/>
          <w:sz w:val="21"/>
        </w:rPr>
        <w:t>建议在初赛前至少安排两轮评审。第一轮围绕数据和任务定义，由遥感/GIS 人员检查时间标签、坐标对齐和样本划分；第二轮围绕结果和场景，由水利或应急方向人员查看典型案例、严重度规则和演示流程。所有评审意见记录版本、日期、处理结论和未解决问题，避免只保留口头建议。若暂时无法获得行业专家，可先使用公开的 Copernicus EMS 产品说明和标注规则建立检查表，但不得把公开资料阅读等同于真实业务验证。</w:t>
      </w:r>
    </w:p>
    <w:p>
      <w:pPr>
        <w:pStyle w:val="Heading3"/>
        <w:keepNext/>
        <w:keepLines/>
        <w:widowControl/>
      </w:pPr>
      <w:r>
        <w:rPr>
          <w:rFonts w:ascii="Times New Roman" w:hAnsi="Times New Roman" w:eastAsia="宋体"/>
          <w:b/>
          <w:color w:val="000000"/>
          <w:sz w:val="24"/>
        </w:rPr>
        <w:t>1.3.3 算法、软件与算力支持</w:t>
      </w:r>
    </w:p>
    <w:p>
      <w:pPr>
        <w:widowControl/>
      </w:pPr>
      <w:r>
        <w:rPr>
          <w:rFonts w:ascii="Times New Roman" w:hAnsi="Times New Roman" w:eastAsia="宋体"/>
          <w:b w:val="0"/>
          <w:color w:val="000000"/>
          <w:sz w:val="21"/>
        </w:rPr>
        <w:t>算法层以标准 U-Net 作为 E0 基线。U-Net 原始工作采用编码器—解码器与跳跃连接实现像素级定位[S7]，其结构清晰、训练与推理成本可控，适合建立性能下限。第一版输入为 event SAR 的 VV、VH 两通道，采用 BCE 与 Dice 的组合损失；随后按实验矩阵加入 DEM 和 pre-event SAR。若简单五通道拼接的 E3 已证明稳定有效，再尝试 Siamese 双分支、显式差异特征或 Cross-Attention；只有在这些结构与 U-Net 采用公平数据划分和训练预算比较后，才能形成技术创新结论。项目还需要实现事件级图块汇总、有效陆地面积计算、分位数阈值、置信度输出和错误案例分析脚本。</w:t>
      </w:r>
    </w:p>
    <w:p>
      <w:pPr>
        <w:widowControl/>
      </w:pPr>
      <w:r>
        <w:rPr>
          <w:rFonts w:ascii="Times New Roman" w:hAnsi="Times New Roman" w:eastAsia="宋体"/>
          <w:b w:val="0"/>
          <w:color w:val="000000"/>
          <w:sz w:val="21"/>
        </w:rPr>
        <w:t>软件环境建议采用 Python、PyTorch、rasterio/GDAL、NumPy、pandas、scikit-learn、matplotlib，以及 ImpactMesh 官方加载包；通过 requirements 或环境锁文件固定版本。代码仓库应区分 data、configs、src、tests、outputs 和 docs，模型权重、数据清单、训练日志、随机种子与指标表使用统一命名。关键预处理和评价函数需配置单元测试，例如检查 SAR/DEM/MASK 尺寸一致、重采样后的类别值未被污染、IoU 计算忽略无效像素、事件聚合没有重复图块。推理演示可采用 FastAPI 或 Flask 提供接口，使用轻量前端展示影像与结果，但不在初赛阶段过度投入复杂平台开发。</w:t>
      </w:r>
    </w:p>
    <w:p>
      <w:pPr>
        <w:widowControl/>
      </w:pPr>
      <w:r>
        <w:rPr>
          <w:rFonts w:ascii="Times New Roman" w:hAnsi="Times New Roman" w:eastAsia="宋体"/>
          <w:b w:val="0"/>
          <w:color w:val="000000"/>
          <w:sz w:val="21"/>
        </w:rPr>
        <w:t>算力方面，建议配置一台具备 16 GB 及以上显存的 NVIDIA GPU 工作站或等效云 GPU，用于 U-Net 与中等规模双分支模型训练；CPU 建议 8 核以上，内存 32 GB 为最低、64 GB 更适合大幅栅格拼接，固态存储至少预留 1 TB，以容纳原始压缩包、解压数据、缓存、模型权重和结果。若使用云算力，应设置预算上限、自动关机和定期备份，并确认数据许可允许上传。演示推理需同时准备 GPU 与 CPU 降级方案；硬件型号、驱动、CUDA、运行批量和图块尺寸必须随最终速度指标一起披露。</w:t>
      </w:r>
    </w:p>
    <w:p>
      <w:pPr>
        <w:pStyle w:val="Heading3"/>
        <w:keepNext/>
        <w:keepLines/>
        <w:widowControl/>
      </w:pPr>
      <w:r>
        <w:rPr>
          <w:rFonts w:ascii="Times New Roman" w:hAnsi="Times New Roman" w:eastAsia="宋体"/>
          <w:b/>
          <w:color w:val="000000"/>
          <w:sz w:val="24"/>
        </w:rPr>
        <w:t>1.3.4 组织、合规与外部资源支持</w:t>
      </w:r>
    </w:p>
    <w:p>
      <w:pPr>
        <w:widowControl/>
      </w:pPr>
      <w:r>
        <w:rPr>
          <w:rFonts w:ascii="Times New Roman" w:hAnsi="Times New Roman" w:eastAsia="宋体"/>
          <w:b w:val="0"/>
          <w:color w:val="000000"/>
          <w:sz w:val="21"/>
        </w:rPr>
        <w:t>组织层面需要稳定的版本管理、实验登记和阶段验收机制。每个实验必须记录目的、输入模态、数据版本、事件划分、模型配置、硬件环境、训练时长、最佳权重、指标与结论；任何影响结果的修改都应更新版本号。阶段一建议设置三个硬门槛：完成时间与标签核验后才能使用“预测”表述；E0 基线稳定后才能加入复杂结构；E0-E3 消融和失败案例齐备后才能确定最终参赛模型。通过门槛管理，可以防止项目在临近提交时依赖无法复现的单次最好结果。</w:t>
      </w:r>
    </w:p>
    <w:p>
      <w:pPr>
        <w:widowControl/>
      </w:pPr>
      <w:r>
        <w:rPr>
          <w:rFonts w:ascii="Times New Roman" w:hAnsi="Times New Roman" w:eastAsia="宋体"/>
          <w:b w:val="0"/>
          <w:color w:val="000000"/>
          <w:sz w:val="21"/>
        </w:rPr>
        <w:t>合规方面，需遵守 ImpactMesh-Flood 的 CC-BY 4.0 许可、ImpactMesh 代码的 Apache 2.0 许可，以及 Sentinel、Copernicus DEM 和 Copernicus EMS 的署名要求。参赛文档、视频和系统界面应在适当位置标注数据与代码来源，不把官方标注、开源模型或第三方底图描述为团队原创。涉及本地业务数据时，应完成授权、脱敏、访问控制和删除策略；模型输出需标注“仅供辅助研判”，并提供人工复核入口。项目不采集个人身份信息，也不根据遥感结果对个人作出自动化决定。</w:t>
      </w:r>
    </w:p>
    <w:p>
      <w:pPr>
        <w:widowControl/>
      </w:pPr>
      <w:r>
        <w:rPr>
          <w:rFonts w:ascii="Times New Roman" w:hAnsi="Times New Roman" w:eastAsia="宋体"/>
          <w:b w:val="0"/>
          <w:color w:val="000000"/>
          <w:sz w:val="21"/>
        </w:rPr>
        <w:t>除团队自有资源外，项目希望获得四类支持：一是校内或合作单位提供阶段性 GPU 算力和大容量存储；二是遥感、水利和应急方向教师或行业专家开展数据与场景评审；三是具备授权的历史洪水案例用于本地回放；四是竞赛组织方或学校提供演示测试、视频制作和成果转化指导。即使部分外部支持暂未落实，项目仍可依靠公开数据和开源工具完成最小闭环；外部资源主要用于提升本地适配、业务解释和系统可靠性，而非作为项目能否启动的前置条件。</w:t>
      </w:r>
    </w:p>
    <w:p>
      <w:pPr>
        <w:pStyle w:val="Heading3"/>
        <w:keepNext/>
        <w:keepLines/>
        <w:widowControl/>
      </w:pPr>
      <w:r>
        <w:rPr>
          <w:rFonts w:ascii="Times New Roman" w:hAnsi="Times New Roman" w:eastAsia="宋体"/>
          <w:b/>
          <w:color w:val="000000"/>
          <w:sz w:val="24"/>
        </w:rPr>
        <w:t>1.3.5 本章数据与技术来源标注</w:t>
      </w:r>
    </w:p>
    <w:p>
      <w:pPr>
        <w:spacing w:after="60" w:lineRule="exact" w:line="320"/>
        <w:ind w:left="300" w:hanging="300"/>
        <w:jc w:val="left"/>
        <w:widowControl/>
      </w:pPr>
      <w:r>
        <w:rPr>
          <w:rFonts w:ascii="Times New Roman" w:hAnsi="Times New Roman" w:eastAsia="宋体"/>
          <w:b w:val="0"/>
          <w:color w:val="000000"/>
          <w:sz w:val="18"/>
        </w:rPr>
        <w:t>[S1] ImpactMesh-Flood 官方数据卡（数据规模、模态、划分、许可与下载方式）：</w:t>
      </w:r>
      <w:hyperlink r:id="rId11">
        <w:r>
          <w:rPr>
            <w:rFonts w:ascii="Times New Roman" w:hAnsi="Times New Roman" w:eastAsia="宋体"/>
            <w:color w:val="000000"/>
            <w:u w:val="single"/>
            <w:sz w:val="18"/>
          </w:rPr>
          <w:t>访问官方数据卡</w:t>
        </w:r>
      </w:hyperlink>
    </w:p>
    <w:p>
      <w:pPr>
        <w:spacing w:after="60" w:lineRule="exact" w:line="320"/>
        <w:ind w:left="300" w:hanging="300"/>
        <w:jc w:val="left"/>
        <w:widowControl/>
      </w:pPr>
      <w:r>
        <w:rPr>
          <w:rFonts w:ascii="Times New Roman" w:hAnsi="Times New Roman" w:eastAsia="宋体"/>
          <w:b w:val="0"/>
          <w:color w:val="000000"/>
          <w:sz w:val="18"/>
        </w:rPr>
        <w:t>[S2] IBM ImpactMesh 官方代码仓库（数据加载、训练配置与代码许可）：</w:t>
      </w:r>
      <w:hyperlink r:id="rId12">
        <w:r>
          <w:rPr>
            <w:rFonts w:ascii="Times New Roman" w:hAnsi="Times New Roman" w:eastAsia="宋体"/>
            <w:color w:val="000000"/>
            <w:u w:val="single"/>
            <w:sz w:val="18"/>
          </w:rPr>
          <w:t>访问官方代码仓库</w:t>
        </w:r>
      </w:hyperlink>
    </w:p>
    <w:p>
      <w:pPr>
        <w:spacing w:after="60" w:lineRule="exact" w:line="320"/>
        <w:ind w:left="300" w:hanging="300"/>
        <w:jc w:val="left"/>
        <w:widowControl/>
      </w:pPr>
      <w:r>
        <w:rPr>
          <w:rFonts w:ascii="Times New Roman" w:hAnsi="Times New Roman" w:eastAsia="宋体"/>
          <w:b w:val="0"/>
          <w:color w:val="000000"/>
          <w:sz w:val="18"/>
        </w:rPr>
        <w:t>[S3] European Space Agency，Sentinel-1 任务说明（全天时、全天候雷达成像）：</w:t>
      </w:r>
      <w:hyperlink r:id="rId13">
        <w:r>
          <w:rPr>
            <w:rFonts w:ascii="Times New Roman" w:hAnsi="Times New Roman" w:eastAsia="宋体"/>
            <w:color w:val="000000"/>
            <w:u w:val="single"/>
            <w:sz w:val="18"/>
          </w:rPr>
          <w:t>访问 ESA 官方说明</w:t>
        </w:r>
      </w:hyperlink>
    </w:p>
    <w:p>
      <w:pPr>
        <w:spacing w:after="60" w:lineRule="exact" w:line="320"/>
        <w:ind w:left="300" w:hanging="300"/>
        <w:jc w:val="left"/>
        <w:widowControl/>
      </w:pPr>
      <w:r>
        <w:rPr>
          <w:rFonts w:ascii="Times New Roman" w:hAnsi="Times New Roman" w:eastAsia="宋体"/>
          <w:b w:val="0"/>
          <w:color w:val="000000"/>
          <w:sz w:val="18"/>
        </w:rPr>
        <w:t>[S4] Copernicus EMS Rapid Mapping 产品说明（灾后快速应急地理信息服务）：</w:t>
      </w:r>
      <w:hyperlink r:id="rId14">
        <w:r>
          <w:rPr>
            <w:rFonts w:ascii="Times New Roman" w:hAnsi="Times New Roman" w:eastAsia="宋体"/>
            <w:color w:val="000000"/>
            <w:u w:val="single"/>
            <w:sz w:val="18"/>
          </w:rPr>
          <w:t>访问官方产品说明</w:t>
        </w:r>
      </w:hyperlink>
    </w:p>
    <w:p>
      <w:pPr>
        <w:spacing w:after="60" w:lineRule="exact" w:line="320"/>
        <w:ind w:left="300" w:hanging="300"/>
        <w:jc w:val="left"/>
        <w:widowControl/>
      </w:pPr>
      <w:r>
        <w:rPr>
          <w:rFonts w:ascii="Times New Roman" w:hAnsi="Times New Roman" w:eastAsia="宋体"/>
          <w:b w:val="0"/>
          <w:color w:val="000000"/>
          <w:sz w:val="18"/>
        </w:rPr>
        <w:t>[S5] Bonafilia 等，Sen1Floods11，CVPR Workshops 2020（Sentinel-1 洪水分割基准）：</w:t>
      </w:r>
      <w:hyperlink r:id="rId15">
        <w:r>
          <w:rPr>
            <w:rFonts w:ascii="Times New Roman" w:hAnsi="Times New Roman" w:eastAsia="宋体"/>
            <w:color w:val="000000"/>
            <w:u w:val="single"/>
            <w:sz w:val="18"/>
          </w:rPr>
          <w:t>访问 CVF 论文页面</w:t>
        </w:r>
      </w:hyperlink>
    </w:p>
    <w:p>
      <w:pPr>
        <w:spacing w:after="60" w:lineRule="exact" w:line="320"/>
        <w:ind w:left="300" w:hanging="300"/>
        <w:jc w:val="left"/>
        <w:widowControl/>
      </w:pPr>
      <w:r>
        <w:rPr>
          <w:rFonts w:ascii="Times New Roman" w:hAnsi="Times New Roman" w:eastAsia="宋体"/>
          <w:b w:val="0"/>
          <w:color w:val="000000"/>
          <w:sz w:val="18"/>
        </w:rPr>
        <w:t>[S6] Bountos 等，Kuro Siwo，NeurIPS 2024 Datasets and Benchmarks Track（多时相 SAR 快速洪水制图数据集）：</w:t>
      </w:r>
      <w:hyperlink r:id="rId16">
        <w:r>
          <w:rPr>
            <w:rFonts w:ascii="Times New Roman" w:hAnsi="Times New Roman" w:eastAsia="宋体"/>
            <w:color w:val="000000"/>
            <w:u w:val="single"/>
            <w:sz w:val="18"/>
          </w:rPr>
          <w:t>访问 NeurIPS 论文页面</w:t>
        </w:r>
      </w:hyperlink>
    </w:p>
    <w:p>
      <w:pPr>
        <w:spacing w:after="60" w:lineRule="exact" w:line="320"/>
        <w:ind w:left="300" w:hanging="300"/>
        <w:jc w:val="left"/>
        <w:widowControl/>
      </w:pPr>
      <w:r>
        <w:rPr>
          <w:rFonts w:ascii="Times New Roman" w:hAnsi="Times New Roman" w:eastAsia="宋体"/>
          <w:b w:val="0"/>
          <w:color w:val="000000"/>
          <w:sz w:val="18"/>
        </w:rPr>
        <w:t>[S7] Ronneberger 等，U-Net 原始论文（编码器—解码器与跳跃连接）：</w:t>
      </w:r>
      <w:hyperlink r:id="rId17">
        <w:r>
          <w:rPr>
            <w:rFonts w:ascii="Times New Roman" w:hAnsi="Times New Roman" w:eastAsia="宋体"/>
            <w:color w:val="000000"/>
            <w:u w:val="single"/>
            <w:sz w:val="18"/>
          </w:rPr>
          <w:t>访问 arXiv 论文页面</w:t>
        </w:r>
      </w:hyperlink>
    </w:p>
    <w:sectPr w:rsidR="00FC693F" w:rsidRPr="0006063C" w:rsidSect="00034616">
      <w:headerReference w:type="default" r:id="rId9"/>
      <w:footerReference w:type="default" r:id="rId10"/>
      <w:pgSz w:w="11906" w:h="16838"/>
      <w:pgMar w:top="1446" w:right="1797" w:bottom="1389" w:left="1797" w:header="595"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line="240" w:lineRule="auto"/>
      <w:jc w:val="center"/>
      <w:pBdr>
        <w:bottom w:val="single" w:sz="8" w:space="3" w:color="000000"/>
      </w:pBdr>
    </w:pPr>
    <w:r>
      <w:rPr>
        <w:rFonts w:ascii="Times New Roman" w:hAnsi="Times New Roman" w:eastAsia="宋体"/>
        <w:color w:val="000000"/>
        <w:sz w:val="18"/>
      </w:rPr>
      <w:t>洪析先知——基于早期多时相 SAR 与地形先验的洪涝灾害演化智能预测系统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exact" w:line="42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left="0"/>
      <w:jc w:val="left"/>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40" w:lineRule="auto"/>
      <w:ind w:firstLine="0" w:left="0"/>
      <w:jc w:val="left"/>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ind w:firstLine="0" w:left="0"/>
      <w:jc w:val="left"/>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datasets/ibm-esa-geospatial/ImpactMesh-Flood" TargetMode="External"/><Relationship Id="rId12" Type="http://schemas.openxmlformats.org/officeDocument/2006/relationships/hyperlink" Target="https://github.com/IBM/ImpactMesh" TargetMode="External"/><Relationship Id="rId13" Type="http://schemas.openxmlformats.org/officeDocument/2006/relationships/hyperlink" Target="https://www.esa.int/Applications/Observing_the_Earth/Copernicus/Sentinel-1/Introducing_the_Sentinel-1_mission" TargetMode="External"/><Relationship Id="rId14" Type="http://schemas.openxmlformats.org/officeDocument/2006/relationships/hyperlink" Target="https://mapping.emergency.copernicus.eu/about/rapid-mapping-manual/product-overview/" TargetMode="External"/><Relationship Id="rId15" Type="http://schemas.openxmlformats.org/officeDocument/2006/relationships/hyperlink" Target="https://openaccess.thecvf.com/content_CVPRW_2020/html/w11/Bonafilia_Sen1Floods11_A_Georeferenced_Dataset_to_Train_and_Test_Deep_Learning_CVPRW_2020_paper.html" TargetMode="External"/><Relationship Id="rId16" Type="http://schemas.openxmlformats.org/officeDocument/2006/relationships/hyperlink" Target="https://proceedings.neurips.cc/paper_files/paper/2024/hash/43612b0662cb6a4986edf859fd6ebafe-Abstract-Datasets_and_Benchmarks_Track.html" TargetMode="External"/><Relationship Id="rId17" Type="http://schemas.openxmlformats.org/officeDocument/2006/relationships/hyperlink" Target="https://arxiv.org/abs/1505.045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洪析先知——项目文档第1章项目概况</dc:title>
  <dc:subject>第八届中国研究生人工智能创新大赛项目文档</dc:subject>
  <dc:creator/>
  <cp:keywords>洪涝; SAR; 多时相; DEM; 人工智能; 项目概况</cp:keywords>
  <dc:description>generated by python-docx</dc:description>
  <cp:lastModifiedBy/>
  <cp:revision>1</cp:revision>
  <dcterms:created xsi:type="dcterms:W3CDTF">2013-12-23T23:15:00Z</dcterms:created>
  <dcterms:modified xsi:type="dcterms:W3CDTF">2013-12-23T23:15:00Z</dcterms:modified>
  <cp:category/>
</cp:coreProperties>
</file>