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A16E8">
      <w:pPr>
        <w:spacing w:before="1560" w:after="360"/>
        <w:jc w:val="center"/>
      </w:pPr>
      <w:r>
        <w:rPr>
          <w:rFonts w:ascii="Noto Sans CJK SC" w:hAnsi="Noto Sans CJK SC" w:eastAsia="Noto Sans CJK SC"/>
          <w:b/>
          <w:color w:val="4E6173"/>
          <w:sz w:val="34"/>
        </w:rPr>
        <w:t>研究生 AI 创新大赛</w:t>
      </w:r>
    </w:p>
    <w:p w14:paraId="2EC7F12F">
      <w:pPr>
        <w:spacing w:after="200"/>
        <w:jc w:val="center"/>
      </w:pPr>
      <w:r>
        <w:rPr>
          <w:rFonts w:ascii="Noto Sans CJK SC" w:hAnsi="Noto Sans CJK SC" w:eastAsia="Noto Sans CJK SC"/>
          <w:b/>
          <w:color w:val="1C4874"/>
          <w:sz w:val="60"/>
        </w:rPr>
        <w:t>项目阶段一实施方案</w:t>
      </w:r>
    </w:p>
    <w:p w14:paraId="0F04A45C">
      <w:pPr>
        <w:spacing w:after="360"/>
        <w:jc w:val="center"/>
      </w:pPr>
      <w:r>
        <w:rPr>
          <w:rFonts w:ascii="Noto Sans CJK SC" w:hAnsi="Noto Sans CJK SC" w:eastAsia="Noto Sans CJK SC"/>
          <w:b/>
          <w:color w:val="255E91"/>
          <w:sz w:val="44"/>
        </w:rPr>
        <w:t>洪析先知</w:t>
      </w:r>
    </w:p>
    <w:p w14:paraId="1F5C1EE6">
      <w:pPr>
        <w:spacing w:after="160"/>
        <w:jc w:val="center"/>
      </w:pPr>
      <w:r>
        <w:rPr>
          <w:rFonts w:ascii="Noto Sans CJK SC" w:hAnsi="Noto Sans CJK SC" w:eastAsia="Noto Sans CJK SC"/>
          <w:b w:val="0"/>
          <w:color w:val="444444"/>
          <w:sz w:val="28"/>
        </w:rPr>
        <w:t>基于早期多时相 SAR 与地形先验的洪涝灾害演化智能预测系统</w:t>
      </w:r>
    </w:p>
    <w:tbl>
      <w:tblPr>
        <w:tblStyle w:val="32"/>
        <w:tblW w:w="0" w:type="auto"/>
        <w:jc w:val="center"/>
        <w:tblLayout w:type="fixed"/>
        <w:tblCellMar>
          <w:top w:w="0" w:type="dxa"/>
          <w:left w:w="108" w:type="dxa"/>
          <w:bottom w:w="0" w:type="dxa"/>
          <w:right w:w="108" w:type="dxa"/>
        </w:tblCellMar>
      </w:tblPr>
      <w:tblGrid>
        <w:gridCol w:w="9288"/>
      </w:tblGrid>
      <w:tr w14:paraId="734A574A">
        <w:tblPrEx>
          <w:tblCellMar>
            <w:top w:w="0" w:type="dxa"/>
            <w:left w:w="108" w:type="dxa"/>
            <w:bottom w:w="0" w:type="dxa"/>
            <w:right w:w="108" w:type="dxa"/>
          </w:tblCellMar>
        </w:tblPrEx>
        <w:trPr>
          <w:jc w:val="center"/>
        </w:trPr>
        <w:tc>
          <w:tcPr>
            <w:tcW w:w="9288" w:type="dxa"/>
            <w:tcBorders>
              <w:top w:val="single" w:color="1F4E78" w:sz="6" w:space="0"/>
              <w:left w:val="single" w:color="1F4E78" w:sz="6" w:space="0"/>
              <w:bottom w:val="single" w:color="1F4E78" w:sz="6" w:space="0"/>
              <w:right w:val="single" w:color="1F4E78" w:sz="6" w:space="0"/>
            </w:tcBorders>
            <w:shd w:val="clear" w:color="auto" w:fill="DDEBF7"/>
            <w:tcMar>
              <w:top w:w="140" w:type="dxa"/>
              <w:left w:w="160" w:type="dxa"/>
              <w:bottom w:w="140" w:type="dxa"/>
              <w:right w:w="160" w:type="dxa"/>
            </w:tcMar>
          </w:tcPr>
          <w:p w14:paraId="600DB003">
            <w:pPr>
              <w:spacing w:after="60"/>
            </w:pPr>
            <w:r>
              <w:rPr>
                <w:rFonts w:ascii="Noto Sans CJK SC" w:hAnsi="Noto Sans CJK SC" w:eastAsia="Noto Sans CJK SC"/>
                <w:b/>
                <w:color w:val="1F4E78"/>
                <w:sz w:val="23"/>
              </w:rPr>
              <w:t>当前阶段原则</w:t>
            </w:r>
          </w:p>
          <w:p w14:paraId="7DCAC966">
            <w:pPr>
              <w:spacing w:after="0" w:line="288" w:lineRule="auto"/>
            </w:pPr>
            <w:r>
              <w:rPr>
                <w:rFonts w:ascii="Noto Sans CJK SC" w:hAnsi="Noto Sans CJK SC" w:eastAsia="Noto Sans CJK SC"/>
                <w:color w:val="2D2D2D"/>
                <w:sz w:val="21"/>
              </w:rPr>
              <w:t>暂不引入降雨等外部气象数据；优先使用 ImpactMesh-Flood 中的多时相 Sentinel-1 SAR、DEM 与洪水标注，先验证“早期观测 → 后续影响”任务是否成立，再决定最终项目名称与模型复杂度。</w:t>
            </w:r>
          </w:p>
        </w:tc>
      </w:tr>
    </w:tbl>
    <w:p w14:paraId="5BE6321D">
      <w:pPr>
        <w:spacing w:after="40"/>
      </w:pPr>
    </w:p>
    <w:p w14:paraId="6233998D">
      <w:pPr>
        <w:spacing w:before="600"/>
        <w:jc w:val="center"/>
      </w:pPr>
      <w:r>
        <w:rPr>
          <w:rFonts w:ascii="Noto Sans CJK SC" w:hAnsi="Noto Sans CJK SC" w:eastAsia="Noto Sans CJK SC"/>
          <w:color w:val="646464"/>
          <w:sz w:val="21"/>
        </w:rPr>
        <w:t>版本：V0.1（可行性验证阶段）</w:t>
      </w:r>
    </w:p>
    <w:p w14:paraId="4C4A74B4">
      <w:pPr>
        <w:jc w:val="center"/>
      </w:pPr>
      <w:r>
        <w:rPr>
          <w:rFonts w:ascii="Noto Sans CJK SC" w:hAnsi="Noto Sans CJK SC" w:eastAsia="Noto Sans CJK SC"/>
          <w:color w:val="646464"/>
          <w:sz w:val="21"/>
        </w:rPr>
        <w:t>用途：团队内部实施、阶段验收与后续参赛文档基础</w:t>
      </w:r>
    </w:p>
    <w:p w14:paraId="106A8256">
      <w:r>
        <w:br w:type="page"/>
      </w:r>
    </w:p>
    <w:p w14:paraId="1575EA02">
      <w:pPr>
        <w:keepNext/>
        <w:spacing w:before="240" w:after="140"/>
      </w:pPr>
      <w:r>
        <w:rPr>
          <w:rFonts w:ascii="Noto Sans CJK SC" w:hAnsi="Noto Sans CJK SC" w:eastAsia="Noto Sans CJK SC"/>
          <w:b/>
          <w:color w:val="1C4874"/>
          <w:sz w:val="32"/>
        </w:rPr>
        <w:t>一、方案摘要与当前结论</w:t>
      </w:r>
    </w:p>
    <w:p w14:paraId="4EE0030A">
      <w:pPr>
        <w:spacing w:after="120" w:line="300" w:lineRule="auto"/>
        <w:ind w:firstLine="440"/>
      </w:pPr>
      <w:r>
        <w:rPr>
          <w:rFonts w:ascii="Noto Sans CJK SC" w:hAnsi="Noto Sans CJK SC" w:eastAsia="Noto Sans CJK SC"/>
          <w:b w:val="0"/>
          <w:i w:val="0"/>
          <w:color w:val="222222"/>
          <w:sz w:val="22"/>
        </w:rPr>
        <w:t>本阶段的核心目标不是立即训练复杂的“洪灾预测大模型”，而是建立一个可验证、可复现的最小技术闭环：读取并理解多时相 SAR 数据 → 验证时相与标签关系 → 完成洪水分割 baseline → 加入灾前信息和 DEM → 评估多时相与地形先验是否带来稳定增益。只有当数据中能够形成可靠的“早期观测—后期目标”时间关系时，项目才正式进入“洪涝演化预测”阶段。</w:t>
      </w:r>
    </w:p>
    <w:tbl>
      <w:tblPr>
        <w:tblStyle w:val="32"/>
        <w:tblW w:w="0" w:type="auto"/>
        <w:jc w:val="center"/>
        <w:tblLayout w:type="fixed"/>
        <w:tblCellMar>
          <w:top w:w="0" w:type="dxa"/>
          <w:left w:w="108" w:type="dxa"/>
          <w:bottom w:w="0" w:type="dxa"/>
          <w:right w:w="108" w:type="dxa"/>
        </w:tblCellMar>
      </w:tblPr>
      <w:tblGrid>
        <w:gridCol w:w="1325"/>
        <w:gridCol w:w="317"/>
        <w:gridCol w:w="1325"/>
        <w:gridCol w:w="317"/>
        <w:gridCol w:w="1325"/>
        <w:gridCol w:w="317"/>
        <w:gridCol w:w="1325"/>
        <w:gridCol w:w="317"/>
        <w:gridCol w:w="1325"/>
        <w:gridCol w:w="317"/>
        <w:gridCol w:w="1325"/>
      </w:tblGrid>
      <w:tr w14:paraId="5D2B63EF">
        <w:tblPrEx>
          <w:tblCellMar>
            <w:top w:w="0" w:type="dxa"/>
            <w:left w:w="108" w:type="dxa"/>
            <w:bottom w:w="0" w:type="dxa"/>
            <w:right w:w="108" w:type="dxa"/>
          </w:tblCellMar>
        </w:tblPrEx>
        <w:trPr>
          <w:jc w:val="center"/>
        </w:trPr>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35834BA3">
            <w:pPr>
              <w:spacing w:after="0"/>
              <w:jc w:val="center"/>
            </w:pPr>
            <w:r>
              <w:rPr>
                <w:rFonts w:ascii="Noto Sans CJK SC" w:hAnsi="Noto Sans CJK SC" w:eastAsia="Noto Sans CJK SC"/>
                <w:b/>
                <w:color w:val="1F4E79"/>
                <w:sz w:val="18"/>
              </w:rPr>
              <w:t>数据核验</w:t>
            </w:r>
          </w:p>
        </w:tc>
        <w:tc>
          <w:tcPr>
            <w:tcW w:w="909" w:type="dxa"/>
            <w:tcMar>
              <w:top w:w="100" w:type="dxa"/>
              <w:left w:w="40" w:type="dxa"/>
              <w:bottom w:w="100" w:type="dxa"/>
              <w:right w:w="40" w:type="dxa"/>
            </w:tcMar>
            <w:vAlign w:val="center"/>
          </w:tcPr>
          <w:p w14:paraId="5954D80A">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168E8769">
            <w:pPr>
              <w:spacing w:after="0"/>
              <w:jc w:val="center"/>
            </w:pPr>
            <w:r>
              <w:rPr>
                <w:rFonts w:ascii="Noto Sans CJK SC" w:hAnsi="Noto Sans CJK SC" w:eastAsia="Noto Sans CJK SC"/>
                <w:b/>
                <w:color w:val="1F4E79"/>
                <w:sz w:val="18"/>
              </w:rPr>
              <w:t>可视化</w:t>
            </w:r>
          </w:p>
        </w:tc>
        <w:tc>
          <w:tcPr>
            <w:tcW w:w="909" w:type="dxa"/>
            <w:tcMar>
              <w:top w:w="100" w:type="dxa"/>
              <w:left w:w="40" w:type="dxa"/>
              <w:bottom w:w="100" w:type="dxa"/>
              <w:right w:w="40" w:type="dxa"/>
            </w:tcMar>
            <w:vAlign w:val="center"/>
          </w:tcPr>
          <w:p w14:paraId="5D010D4F">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6426CDF2">
            <w:pPr>
              <w:spacing w:after="0"/>
              <w:jc w:val="center"/>
            </w:pPr>
            <w:r>
              <w:rPr>
                <w:rFonts w:ascii="Noto Sans CJK SC" w:hAnsi="Noto Sans CJK SC" w:eastAsia="Noto Sans CJK SC"/>
                <w:b/>
                <w:color w:val="1F4E79"/>
                <w:sz w:val="18"/>
              </w:rPr>
              <w:t>U-Net 基线</w:t>
            </w:r>
          </w:p>
        </w:tc>
        <w:tc>
          <w:tcPr>
            <w:tcW w:w="909" w:type="dxa"/>
            <w:tcMar>
              <w:top w:w="100" w:type="dxa"/>
              <w:left w:w="40" w:type="dxa"/>
              <w:bottom w:w="100" w:type="dxa"/>
              <w:right w:w="40" w:type="dxa"/>
            </w:tcMar>
            <w:vAlign w:val="center"/>
          </w:tcPr>
          <w:p w14:paraId="23D04366">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5B878D75">
            <w:pPr>
              <w:spacing w:after="0"/>
              <w:jc w:val="center"/>
            </w:pPr>
            <w:r>
              <w:rPr>
                <w:rFonts w:ascii="Noto Sans CJK SC" w:hAnsi="Noto Sans CJK SC" w:eastAsia="Noto Sans CJK SC"/>
                <w:b/>
                <w:color w:val="1F4E79"/>
                <w:sz w:val="18"/>
              </w:rPr>
              <w:t>时相增强</w:t>
            </w:r>
          </w:p>
        </w:tc>
        <w:tc>
          <w:tcPr>
            <w:tcW w:w="909" w:type="dxa"/>
            <w:tcMar>
              <w:top w:w="100" w:type="dxa"/>
              <w:left w:w="40" w:type="dxa"/>
              <w:bottom w:w="100" w:type="dxa"/>
              <w:right w:w="40" w:type="dxa"/>
            </w:tcMar>
            <w:vAlign w:val="center"/>
          </w:tcPr>
          <w:p w14:paraId="40DF5B6B">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3B035291">
            <w:pPr>
              <w:spacing w:after="0"/>
              <w:jc w:val="center"/>
            </w:pPr>
            <w:r>
              <w:rPr>
                <w:rFonts w:ascii="Noto Sans CJK SC" w:hAnsi="Noto Sans CJK SC" w:eastAsia="Noto Sans CJK SC"/>
                <w:b/>
                <w:color w:val="1F4E79"/>
                <w:sz w:val="18"/>
              </w:rPr>
              <w:t>严重度评估</w:t>
            </w:r>
          </w:p>
        </w:tc>
        <w:tc>
          <w:tcPr>
            <w:tcW w:w="909" w:type="dxa"/>
            <w:tcMar>
              <w:top w:w="100" w:type="dxa"/>
              <w:left w:w="40" w:type="dxa"/>
              <w:bottom w:w="100" w:type="dxa"/>
              <w:right w:w="40" w:type="dxa"/>
            </w:tcMar>
            <w:vAlign w:val="center"/>
          </w:tcPr>
          <w:p w14:paraId="00117B6E">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6C216AAF">
            <w:pPr>
              <w:spacing w:after="0"/>
              <w:jc w:val="center"/>
            </w:pPr>
            <w:r>
              <w:rPr>
                <w:rFonts w:ascii="Noto Sans CJK SC" w:hAnsi="Noto Sans CJK SC" w:eastAsia="Noto Sans CJK SC"/>
                <w:b/>
                <w:color w:val="1F4E79"/>
                <w:sz w:val="18"/>
              </w:rPr>
              <w:t>预测升级</w:t>
            </w:r>
          </w:p>
        </w:tc>
      </w:tr>
    </w:tbl>
    <w:p w14:paraId="4C901BA1">
      <w:pPr>
        <w:spacing w:after="60"/>
      </w:pPr>
    </w:p>
    <w:tbl>
      <w:tblPr>
        <w:tblStyle w:val="32"/>
        <w:tblW w:w="0" w:type="auto"/>
        <w:jc w:val="center"/>
        <w:tblLayout w:type="fixed"/>
        <w:tblCellMar>
          <w:top w:w="0" w:type="dxa"/>
          <w:left w:w="108" w:type="dxa"/>
          <w:bottom w:w="0" w:type="dxa"/>
          <w:right w:w="108" w:type="dxa"/>
        </w:tblCellMar>
      </w:tblPr>
      <w:tblGrid>
        <w:gridCol w:w="9288"/>
      </w:tblGrid>
      <w:tr w14:paraId="5A838433">
        <w:tblPrEx>
          <w:tblCellMar>
            <w:top w:w="0" w:type="dxa"/>
            <w:left w:w="108" w:type="dxa"/>
            <w:bottom w:w="0" w:type="dxa"/>
            <w:right w:w="108" w:type="dxa"/>
          </w:tblCellMar>
        </w:tblPrEx>
        <w:trPr>
          <w:jc w:val="center"/>
        </w:trPr>
        <w:tc>
          <w:tcPr>
            <w:tcW w:w="9288" w:type="dxa"/>
            <w:tcBorders>
              <w:top w:val="single" w:color="385723" w:sz="6" w:space="0"/>
              <w:left w:val="single" w:color="385723" w:sz="6" w:space="0"/>
              <w:bottom w:val="single" w:color="385723" w:sz="6" w:space="0"/>
              <w:right w:val="single" w:color="385723" w:sz="6" w:space="0"/>
            </w:tcBorders>
            <w:shd w:val="clear" w:color="auto" w:fill="E2F0D9"/>
            <w:tcMar>
              <w:top w:w="140" w:type="dxa"/>
              <w:left w:w="160" w:type="dxa"/>
              <w:bottom w:w="140" w:type="dxa"/>
              <w:right w:w="160" w:type="dxa"/>
            </w:tcMar>
          </w:tcPr>
          <w:p w14:paraId="60913815">
            <w:pPr>
              <w:spacing w:after="60"/>
            </w:pPr>
            <w:r>
              <w:rPr>
                <w:rFonts w:ascii="Noto Sans CJK SC" w:hAnsi="Noto Sans CJK SC" w:eastAsia="Noto Sans CJK SC"/>
                <w:b/>
                <w:color w:val="385723"/>
                <w:sz w:val="23"/>
              </w:rPr>
              <w:t>阶段一成功标准</w:t>
            </w:r>
          </w:p>
          <w:p w14:paraId="47C8D0C1">
            <w:pPr>
              <w:spacing w:after="0" w:line="288" w:lineRule="auto"/>
            </w:pPr>
            <w:r>
              <w:rPr>
                <w:rFonts w:ascii="Noto Sans CJK SC" w:hAnsi="Noto Sans CJK SC" w:eastAsia="Noto Sans CJK SC"/>
                <w:color w:val="2D2D2D"/>
                <w:sz w:val="21"/>
              </w:rPr>
              <w:t>完成四时相 SAR + DEM + MASK 可视化；确认 MASK 与时相关系；跑通至少一个 U-Net 洪水分割模型；得到 IoU、Dice、Precision、Recall、F1；完成 Event-only、+DEM、+Pre-event 三组对照实验。</w:t>
            </w:r>
          </w:p>
        </w:tc>
      </w:tr>
    </w:tbl>
    <w:p w14:paraId="47048FFA">
      <w:pPr>
        <w:spacing w:after="40"/>
      </w:pPr>
    </w:p>
    <w:p w14:paraId="7F3E96C5">
      <w:pPr>
        <w:keepNext/>
        <w:spacing w:before="240" w:after="140"/>
      </w:pPr>
      <w:r>
        <w:rPr>
          <w:rFonts w:ascii="Noto Sans CJK SC" w:hAnsi="Noto Sans CJK SC" w:eastAsia="Noto Sans CJK SC"/>
          <w:b/>
          <w:color w:val="1C4874"/>
          <w:sz w:val="32"/>
        </w:rPr>
        <w:t>二、项目研究问题</w:t>
      </w:r>
    </w:p>
    <w:p w14:paraId="486BDAC7">
      <w:pPr>
        <w:keepNext/>
        <w:spacing w:before="180" w:after="100"/>
      </w:pPr>
      <w:r>
        <w:rPr>
          <w:rFonts w:ascii="Noto Sans CJK SC" w:hAnsi="Noto Sans CJK SC" w:eastAsia="Noto Sans CJK SC"/>
          <w:b/>
          <w:color w:val="2A587E"/>
          <w:sz w:val="26"/>
        </w:rPr>
        <w:t>2.1 最终希望解决的问题</w:t>
      </w:r>
    </w:p>
    <w:p w14:paraId="6EACC72C">
      <w:pPr>
        <w:spacing w:after="120" w:line="300" w:lineRule="auto"/>
        <w:ind w:firstLine="440"/>
      </w:pPr>
      <w:r>
        <w:rPr>
          <w:rFonts w:ascii="Noto Sans CJK SC" w:hAnsi="Noto Sans CJK SC" w:eastAsia="Noto Sans CJK SC"/>
          <w:b w:val="0"/>
          <w:i w:val="0"/>
          <w:color w:val="222222"/>
          <w:sz w:val="22"/>
        </w:rPr>
        <w:t>在洪涝灾害发生后的早期阶段，利用灾前 SAR、首次可用灾中 SAR 与静态地形信息，判断后续可能受到洪水影响的空间范围，并给出“一般、严重、非常严重”三级风险结果。核心价值在于将遥感 AI 从“事后识别”向“早期风险推演”推进。</w:t>
      </w:r>
    </w:p>
    <w:p w14:paraId="5FA251DE">
      <w:pPr>
        <w:keepNext/>
        <w:spacing w:before="180" w:after="100"/>
      </w:pPr>
      <w:r>
        <w:rPr>
          <w:rFonts w:ascii="Noto Sans CJK SC" w:hAnsi="Noto Sans CJK SC" w:eastAsia="Noto Sans CJK SC"/>
          <w:b/>
          <w:color w:val="2A587E"/>
          <w:sz w:val="26"/>
        </w:rPr>
        <w:t>2.2 当前阶段只解决三个基础问题</w:t>
      </w:r>
    </w:p>
    <w:p w14:paraId="4F6CF9A4">
      <w:pPr>
        <w:pStyle w:val="14"/>
        <w:spacing w:after="80" w:line="288" w:lineRule="auto"/>
      </w:pPr>
      <w:r>
        <w:rPr>
          <w:rFonts w:ascii="Noto Sans CJK SC" w:hAnsi="Noto Sans CJK SC" w:eastAsia="Noto Sans CJK SC"/>
          <w:sz w:val="22"/>
        </w:rPr>
        <w:t>ImpactMesh-Flood 的四个时相是否能够支持“早期 → 后期”的训练样本构造？</w:t>
      </w:r>
    </w:p>
    <w:p w14:paraId="1C71DD15">
      <w:pPr>
        <w:pStyle w:val="14"/>
        <w:spacing w:after="80" w:line="288" w:lineRule="auto"/>
      </w:pPr>
      <w:r>
        <w:rPr>
          <w:rFonts w:ascii="Noto Sans CJK SC" w:hAnsi="Noto Sans CJK SC" w:eastAsia="Noto Sans CJK SC"/>
          <w:sz w:val="22"/>
        </w:rPr>
        <w:t>仅使用 SAR 与 DEM，能否稳定学习洪水空间分布，并证明灾前信息和地形先验有用？</w:t>
      </w:r>
    </w:p>
    <w:p w14:paraId="09765A68">
      <w:pPr>
        <w:pStyle w:val="14"/>
        <w:spacing w:after="80" w:line="288" w:lineRule="auto"/>
      </w:pPr>
      <w:r>
        <w:rPr>
          <w:rFonts w:ascii="Noto Sans CJK SC" w:hAnsi="Noto Sans CJK SC" w:eastAsia="Noto Sans CJK SC"/>
          <w:sz w:val="22"/>
        </w:rPr>
        <w:t>如何从空间洪水预测结果生成可解释、可复现的三级灾害严重度？</w:t>
      </w:r>
    </w:p>
    <w:tbl>
      <w:tblPr>
        <w:tblStyle w:val="32"/>
        <w:tblW w:w="0" w:type="auto"/>
        <w:jc w:val="center"/>
        <w:tblLayout w:type="fixed"/>
        <w:tblCellMar>
          <w:top w:w="0" w:type="dxa"/>
          <w:left w:w="108" w:type="dxa"/>
          <w:bottom w:w="0" w:type="dxa"/>
          <w:right w:w="108" w:type="dxa"/>
        </w:tblCellMar>
      </w:tblPr>
      <w:tblGrid>
        <w:gridCol w:w="9288"/>
      </w:tblGrid>
      <w:tr w14:paraId="4012A984">
        <w:tblPrEx>
          <w:tblCellMar>
            <w:top w:w="0" w:type="dxa"/>
            <w:left w:w="108" w:type="dxa"/>
            <w:bottom w:w="0" w:type="dxa"/>
            <w:right w:w="108" w:type="dxa"/>
          </w:tblCellMar>
        </w:tblPrEx>
        <w:trPr>
          <w:jc w:val="center"/>
        </w:trPr>
        <w:tc>
          <w:tcPr>
            <w:tcW w:w="9288" w:type="dxa"/>
            <w:tcBorders>
              <w:top w:val="single" w:color="7F6000" w:sz="6" w:space="0"/>
              <w:left w:val="single" w:color="7F6000" w:sz="6" w:space="0"/>
              <w:bottom w:val="single" w:color="7F6000" w:sz="6" w:space="0"/>
              <w:right w:val="single" w:color="7F6000" w:sz="6" w:space="0"/>
            </w:tcBorders>
            <w:shd w:val="clear" w:color="auto" w:fill="FFF2CC"/>
            <w:tcMar>
              <w:top w:w="140" w:type="dxa"/>
              <w:left w:w="160" w:type="dxa"/>
              <w:bottom w:w="140" w:type="dxa"/>
              <w:right w:w="160" w:type="dxa"/>
            </w:tcMar>
          </w:tcPr>
          <w:p w14:paraId="5CAE407A">
            <w:pPr>
              <w:spacing w:after="60"/>
            </w:pPr>
            <w:r>
              <w:rPr>
                <w:rFonts w:ascii="Noto Sans CJK SC" w:hAnsi="Noto Sans CJK SC" w:eastAsia="Noto Sans CJK SC"/>
                <w:b/>
                <w:color w:val="7F6000"/>
                <w:sz w:val="23"/>
              </w:rPr>
              <w:t>重要边界</w:t>
            </w:r>
          </w:p>
          <w:p w14:paraId="61B58AB3">
            <w:pPr>
              <w:spacing w:after="0" w:line="288" w:lineRule="auto"/>
            </w:pPr>
            <w:r>
              <w:rPr>
                <w:rFonts w:ascii="Noto Sans CJK SC" w:hAnsi="Noto Sans CJK SC" w:eastAsia="Noto Sans CJK SC"/>
                <w:color w:val="2D2D2D"/>
                <w:sz w:val="21"/>
              </w:rPr>
              <w:t>如果数据标签只对应 event 时刻，而 post-event 已经属于灾后消退阶段，则本阶段不得把结果包装为“未来洪灾预测”。此时先以“多时相 SAR 洪涝智能评估”为项目 baseline，后续再补充真正的未来标签。</w:t>
            </w:r>
          </w:p>
        </w:tc>
      </w:tr>
    </w:tbl>
    <w:p w14:paraId="4BC32713">
      <w:pPr>
        <w:spacing w:after="40"/>
      </w:pPr>
    </w:p>
    <w:p w14:paraId="5ABD4CFA">
      <w:pPr>
        <w:keepNext/>
        <w:spacing w:before="240" w:after="140"/>
      </w:pPr>
      <w:r>
        <w:rPr>
          <w:rFonts w:ascii="Noto Sans CJK SC" w:hAnsi="Noto Sans CJK SC" w:eastAsia="Noto Sans CJK SC"/>
          <w:b/>
          <w:color w:val="1C4874"/>
          <w:sz w:val="32"/>
        </w:rPr>
        <w:t>三、数据方案：ImpactMesh-Flood</w:t>
      </w:r>
    </w:p>
    <w:p w14:paraId="6665A10E">
      <w:pPr>
        <w:spacing w:after="120" w:line="300" w:lineRule="auto"/>
        <w:ind w:firstLine="440"/>
      </w:pPr>
      <w:r>
        <w:rPr>
          <w:rFonts w:ascii="Noto Sans CJK SC" w:hAnsi="Noto Sans CJK SC" w:eastAsia="Noto Sans CJK SC"/>
          <w:b w:val="0"/>
          <w:i w:val="0"/>
          <w:color w:val="222222"/>
          <w:sz w:val="22"/>
        </w:rPr>
        <w:t>ImpactMesh 是 IBM、DLR 与 ESA Φ-lab 发布的多模态、多时相灾害遥感数据资源。官方数据卡当前说明洪水子集包含 Sentinel-1 SAR、Sentinel-2 光学、Copernicus DEM 与 Copernicus EMS 标注，并提供 pre-month、pre-event、event、post-event 四个时间点。当前阶段仅使用 SAR、DEM 与 MASK，不使用 Sentinel-2。</w:t>
      </w:r>
    </w:p>
    <w:tbl>
      <w:tblPr>
        <w:tblStyle w:val="32"/>
        <w:tblW w:w="0" w:type="auto"/>
        <w:jc w:val="center"/>
        <w:tblLayout w:type="fixed"/>
        <w:tblCellMar>
          <w:top w:w="0" w:type="dxa"/>
          <w:left w:w="108" w:type="dxa"/>
          <w:bottom w:w="0" w:type="dxa"/>
          <w:right w:w="108" w:type="dxa"/>
        </w:tblCellMar>
      </w:tblPr>
      <w:tblGrid>
        <w:gridCol w:w="2498"/>
        <w:gridCol w:w="2498"/>
        <w:gridCol w:w="2498"/>
        <w:gridCol w:w="2498"/>
      </w:tblGrid>
      <w:tr w14:paraId="6FC80DA6">
        <w:tblPrEx>
          <w:tblCellMar>
            <w:top w:w="0" w:type="dxa"/>
            <w:left w:w="108" w:type="dxa"/>
            <w:bottom w:w="0" w:type="dxa"/>
            <w:right w:w="108" w:type="dxa"/>
          </w:tblCellMar>
        </w:tblPrEx>
        <w:trPr>
          <w:cantSplit/>
          <w:tblHeader/>
          <w:jc w:val="center"/>
        </w:trPr>
        <w:tc>
          <w:tcPr>
            <w:tcW w:w="1800"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13D36C95">
            <w:pPr>
              <w:spacing w:after="0" w:line="269" w:lineRule="auto"/>
            </w:pPr>
            <w:r>
              <w:rPr>
                <w:rFonts w:ascii="Noto Sans CJK SC" w:hAnsi="Noto Sans CJK SC" w:eastAsia="Noto Sans CJK SC"/>
                <w:b/>
                <w:color w:val="1F4E79"/>
                <w:sz w:val="19"/>
              </w:rPr>
              <w:t>数据项</w:t>
            </w:r>
          </w:p>
        </w:tc>
        <w:tc>
          <w:tcPr>
            <w:tcW w:w="3384"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75A030F9">
            <w:pPr>
              <w:spacing w:after="0" w:line="269" w:lineRule="auto"/>
              <w:jc w:val="center"/>
            </w:pPr>
            <w:r>
              <w:rPr>
                <w:rFonts w:ascii="Noto Sans CJK SC" w:hAnsi="Noto Sans CJK SC" w:eastAsia="Noto Sans CJK SC"/>
                <w:b/>
                <w:color w:val="1F4E79"/>
                <w:sz w:val="19"/>
              </w:rPr>
              <w:t>本阶段用途</w:t>
            </w:r>
          </w:p>
        </w:tc>
        <w:tc>
          <w:tcPr>
            <w:tcW w:w="1296"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31915E3E">
            <w:pPr>
              <w:spacing w:after="0" w:line="269" w:lineRule="auto"/>
              <w:jc w:val="center"/>
            </w:pPr>
            <w:r>
              <w:rPr>
                <w:rFonts w:ascii="Noto Sans CJK SC" w:hAnsi="Noto Sans CJK SC" w:eastAsia="Noto Sans CJK SC"/>
                <w:b/>
                <w:color w:val="1F4E79"/>
                <w:sz w:val="19"/>
              </w:rPr>
              <w:t>是否必需</w:t>
            </w:r>
          </w:p>
        </w:tc>
        <w:tc>
          <w:tcPr>
            <w:tcW w:w="3024"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288913E9">
            <w:pPr>
              <w:spacing w:after="0" w:line="269" w:lineRule="auto"/>
              <w:jc w:val="center"/>
            </w:pPr>
            <w:r>
              <w:rPr>
                <w:rFonts w:ascii="Noto Sans CJK SC" w:hAnsi="Noto Sans CJK SC" w:eastAsia="Noto Sans CJK SC"/>
                <w:b/>
                <w:color w:val="1F4E79"/>
                <w:sz w:val="19"/>
              </w:rPr>
              <w:t>备注</w:t>
            </w:r>
          </w:p>
        </w:tc>
      </w:tr>
      <w:tr w14:paraId="1F7C2D49">
        <w:tblPrEx>
          <w:tblCellMar>
            <w:top w:w="0" w:type="dxa"/>
            <w:left w:w="108" w:type="dxa"/>
            <w:bottom w:w="0" w:type="dxa"/>
            <w:right w:w="108" w:type="dxa"/>
          </w:tblCellMar>
        </w:tblPrEx>
        <w:trPr>
          <w:cantSplit/>
          <w:jc w:val="center"/>
        </w:trPr>
        <w:tc>
          <w:tcPr>
            <w:tcW w:w="180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08E23BA">
            <w:pPr>
              <w:spacing w:after="0" w:line="269" w:lineRule="auto"/>
            </w:pPr>
            <w:r>
              <w:rPr>
                <w:rFonts w:ascii="Noto Sans CJK SC" w:hAnsi="Noto Sans CJK SC" w:eastAsia="Noto Sans CJK SC"/>
                <w:b/>
                <w:color w:val="2D2D2D"/>
                <w:sz w:val="19"/>
              </w:rPr>
              <w:t>Pre-month SAR</w:t>
            </w:r>
          </w:p>
        </w:tc>
        <w:tc>
          <w:tcPr>
            <w:tcW w:w="338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E29FB3C">
            <w:pPr>
              <w:spacing w:after="0" w:line="269" w:lineRule="auto"/>
              <w:jc w:val="center"/>
            </w:pPr>
            <w:r>
              <w:rPr>
                <w:rFonts w:ascii="Noto Sans CJK SC" w:hAnsi="Noto Sans CJK SC" w:eastAsia="Noto Sans CJK SC"/>
                <w:b w:val="0"/>
                <w:color w:val="2D2D2D"/>
                <w:sz w:val="19"/>
              </w:rPr>
              <w:t>辅助了解长期正常状态</w:t>
            </w:r>
          </w:p>
        </w:tc>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4700F83">
            <w:pPr>
              <w:spacing w:after="0" w:line="269" w:lineRule="auto"/>
              <w:jc w:val="center"/>
            </w:pPr>
            <w:r>
              <w:rPr>
                <w:rFonts w:ascii="Noto Sans CJK SC" w:hAnsi="Noto Sans CJK SC" w:eastAsia="Noto Sans CJK SC"/>
                <w:b w:val="0"/>
                <w:color w:val="2D2D2D"/>
                <w:sz w:val="19"/>
              </w:rPr>
              <w:t>可选</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F03AB9E">
            <w:pPr>
              <w:spacing w:after="0" w:line="269" w:lineRule="auto"/>
              <w:jc w:val="center"/>
            </w:pPr>
            <w:r>
              <w:rPr>
                <w:rFonts w:ascii="Noto Sans CJK SC" w:hAnsi="Noto Sans CJK SC" w:eastAsia="Noto Sans CJK SC"/>
                <w:b w:val="0"/>
                <w:color w:val="2D2D2D"/>
                <w:sz w:val="19"/>
              </w:rPr>
              <w:t>第一版可不输入模型</w:t>
            </w:r>
          </w:p>
        </w:tc>
      </w:tr>
      <w:tr w14:paraId="3AAEB679">
        <w:tblPrEx>
          <w:tblCellMar>
            <w:top w:w="0" w:type="dxa"/>
            <w:left w:w="108" w:type="dxa"/>
            <w:bottom w:w="0" w:type="dxa"/>
            <w:right w:w="108" w:type="dxa"/>
          </w:tblCellMar>
        </w:tblPrEx>
        <w:trPr>
          <w:cantSplit/>
          <w:jc w:val="center"/>
        </w:trPr>
        <w:tc>
          <w:tcPr>
            <w:tcW w:w="180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943ED31">
            <w:pPr>
              <w:spacing w:after="0" w:line="269" w:lineRule="auto"/>
            </w:pPr>
            <w:r>
              <w:rPr>
                <w:rFonts w:ascii="Noto Sans CJK SC" w:hAnsi="Noto Sans CJK SC" w:eastAsia="Noto Sans CJK SC"/>
                <w:b/>
                <w:color w:val="2D2D2D"/>
                <w:sz w:val="19"/>
              </w:rPr>
              <w:t>Pre-event SAR</w:t>
            </w:r>
          </w:p>
        </w:tc>
        <w:tc>
          <w:tcPr>
            <w:tcW w:w="338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B1F52D6">
            <w:pPr>
              <w:spacing w:after="0" w:line="269" w:lineRule="auto"/>
              <w:jc w:val="center"/>
            </w:pPr>
            <w:r>
              <w:rPr>
                <w:rFonts w:ascii="Noto Sans CJK SC" w:hAnsi="Noto Sans CJK SC" w:eastAsia="Noto Sans CJK SC"/>
                <w:b w:val="0"/>
                <w:color w:val="2D2D2D"/>
                <w:sz w:val="19"/>
              </w:rPr>
              <w:t>灾前基准状态</w:t>
            </w:r>
          </w:p>
        </w:tc>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5EA03D0">
            <w:pPr>
              <w:spacing w:after="0" w:line="269" w:lineRule="auto"/>
              <w:jc w:val="center"/>
            </w:pPr>
            <w:r>
              <w:rPr>
                <w:rFonts w:ascii="Noto Sans CJK SC" w:hAnsi="Noto Sans CJK SC" w:eastAsia="Noto Sans CJK SC"/>
                <w:b w:val="0"/>
                <w:color w:val="2D2D2D"/>
                <w:sz w:val="19"/>
              </w:rPr>
              <w:t>必需</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E853836">
            <w:pPr>
              <w:spacing w:after="0" w:line="269" w:lineRule="auto"/>
              <w:jc w:val="center"/>
            </w:pPr>
            <w:r>
              <w:rPr>
                <w:rFonts w:ascii="Noto Sans CJK SC" w:hAnsi="Noto Sans CJK SC" w:eastAsia="Noto Sans CJK SC"/>
                <w:b w:val="0"/>
                <w:color w:val="2D2D2D"/>
                <w:sz w:val="19"/>
              </w:rPr>
              <w:t>与 event 做时相差异学习</w:t>
            </w:r>
          </w:p>
        </w:tc>
      </w:tr>
      <w:tr w14:paraId="7DD219A7">
        <w:tblPrEx>
          <w:tblCellMar>
            <w:top w:w="0" w:type="dxa"/>
            <w:left w:w="108" w:type="dxa"/>
            <w:bottom w:w="0" w:type="dxa"/>
            <w:right w:w="108" w:type="dxa"/>
          </w:tblCellMar>
        </w:tblPrEx>
        <w:trPr>
          <w:cantSplit/>
          <w:jc w:val="center"/>
        </w:trPr>
        <w:tc>
          <w:tcPr>
            <w:tcW w:w="180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54951F6">
            <w:pPr>
              <w:spacing w:after="0" w:line="269" w:lineRule="auto"/>
            </w:pPr>
            <w:r>
              <w:rPr>
                <w:rFonts w:ascii="Noto Sans CJK SC" w:hAnsi="Noto Sans CJK SC" w:eastAsia="Noto Sans CJK SC"/>
                <w:b/>
                <w:color w:val="2D2D2D"/>
                <w:sz w:val="19"/>
              </w:rPr>
              <w:t>Event SAR</w:t>
            </w:r>
          </w:p>
        </w:tc>
        <w:tc>
          <w:tcPr>
            <w:tcW w:w="338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3563682">
            <w:pPr>
              <w:spacing w:after="0" w:line="269" w:lineRule="auto"/>
              <w:jc w:val="center"/>
            </w:pPr>
            <w:r>
              <w:rPr>
                <w:rFonts w:ascii="Noto Sans CJK SC" w:hAnsi="Noto Sans CJK SC" w:eastAsia="Noto Sans CJK SC"/>
                <w:b w:val="0"/>
                <w:color w:val="2D2D2D"/>
                <w:sz w:val="19"/>
              </w:rPr>
              <w:t>灾害早期/事件期观测</w:t>
            </w:r>
          </w:p>
        </w:tc>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A49BDB6">
            <w:pPr>
              <w:spacing w:after="0" w:line="269" w:lineRule="auto"/>
              <w:jc w:val="center"/>
            </w:pPr>
            <w:r>
              <w:rPr>
                <w:rFonts w:ascii="Noto Sans CJK SC" w:hAnsi="Noto Sans CJK SC" w:eastAsia="Noto Sans CJK SC"/>
                <w:b w:val="0"/>
                <w:color w:val="2D2D2D"/>
                <w:sz w:val="19"/>
              </w:rPr>
              <w:t>必需</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94E4149">
            <w:pPr>
              <w:spacing w:after="0" w:line="269" w:lineRule="auto"/>
              <w:jc w:val="center"/>
            </w:pPr>
            <w:r>
              <w:rPr>
                <w:rFonts w:ascii="Noto Sans CJK SC" w:hAnsi="Noto Sans CJK SC" w:eastAsia="Noto Sans CJK SC"/>
                <w:b w:val="0"/>
                <w:color w:val="2D2D2D"/>
                <w:sz w:val="19"/>
              </w:rPr>
              <w:t>需结合元数据确认具体时间语义</w:t>
            </w:r>
          </w:p>
        </w:tc>
      </w:tr>
      <w:tr w14:paraId="3E8C7B73">
        <w:tblPrEx>
          <w:tblCellMar>
            <w:top w:w="0" w:type="dxa"/>
            <w:left w:w="108" w:type="dxa"/>
            <w:bottom w:w="0" w:type="dxa"/>
            <w:right w:w="108" w:type="dxa"/>
          </w:tblCellMar>
        </w:tblPrEx>
        <w:trPr>
          <w:cantSplit/>
          <w:jc w:val="center"/>
        </w:trPr>
        <w:tc>
          <w:tcPr>
            <w:tcW w:w="180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AF7EC0A">
            <w:pPr>
              <w:spacing w:after="0" w:line="269" w:lineRule="auto"/>
            </w:pPr>
            <w:r>
              <w:rPr>
                <w:rFonts w:ascii="Noto Sans CJK SC" w:hAnsi="Noto Sans CJK SC" w:eastAsia="Noto Sans CJK SC"/>
                <w:b/>
                <w:color w:val="2D2D2D"/>
                <w:sz w:val="19"/>
              </w:rPr>
              <w:t>Post-event SAR</w:t>
            </w:r>
          </w:p>
        </w:tc>
        <w:tc>
          <w:tcPr>
            <w:tcW w:w="338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F7DA0D8">
            <w:pPr>
              <w:spacing w:after="0" w:line="269" w:lineRule="auto"/>
              <w:jc w:val="center"/>
            </w:pPr>
            <w:r>
              <w:rPr>
                <w:rFonts w:ascii="Noto Sans CJK SC" w:hAnsi="Noto Sans CJK SC" w:eastAsia="Noto Sans CJK SC"/>
                <w:b w:val="0"/>
                <w:color w:val="2D2D2D"/>
                <w:sz w:val="19"/>
              </w:rPr>
              <w:t>后期/灾后观测</w:t>
            </w:r>
          </w:p>
        </w:tc>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E66133D">
            <w:pPr>
              <w:spacing w:after="0" w:line="269" w:lineRule="auto"/>
              <w:jc w:val="center"/>
            </w:pPr>
            <w:r>
              <w:rPr>
                <w:rFonts w:ascii="Noto Sans CJK SC" w:hAnsi="Noto Sans CJK SC" w:eastAsia="Noto Sans CJK SC"/>
                <w:b w:val="0"/>
                <w:color w:val="2D2D2D"/>
                <w:sz w:val="19"/>
              </w:rPr>
              <w:t>待确认</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BF0C12E">
            <w:pPr>
              <w:spacing w:after="0" w:line="269" w:lineRule="auto"/>
              <w:jc w:val="center"/>
            </w:pPr>
            <w:r>
              <w:rPr>
                <w:rFonts w:ascii="Noto Sans CJK SC" w:hAnsi="Noto Sans CJK SC" w:eastAsia="Noto Sans CJK SC"/>
                <w:b w:val="0"/>
                <w:color w:val="2D2D2D"/>
                <w:sz w:val="19"/>
              </w:rPr>
              <w:t>是否可作为未来目标必须先核验</w:t>
            </w:r>
          </w:p>
        </w:tc>
      </w:tr>
      <w:tr w14:paraId="056BDCCB">
        <w:tblPrEx>
          <w:tblCellMar>
            <w:top w:w="0" w:type="dxa"/>
            <w:left w:w="108" w:type="dxa"/>
            <w:bottom w:w="0" w:type="dxa"/>
            <w:right w:w="108" w:type="dxa"/>
          </w:tblCellMar>
        </w:tblPrEx>
        <w:trPr>
          <w:cantSplit/>
          <w:jc w:val="center"/>
        </w:trPr>
        <w:tc>
          <w:tcPr>
            <w:tcW w:w="180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07C0C65">
            <w:pPr>
              <w:spacing w:after="0" w:line="269" w:lineRule="auto"/>
            </w:pPr>
            <w:r>
              <w:rPr>
                <w:rFonts w:ascii="Noto Sans CJK SC" w:hAnsi="Noto Sans CJK SC" w:eastAsia="Noto Sans CJK SC"/>
                <w:b/>
                <w:color w:val="2D2D2D"/>
                <w:sz w:val="19"/>
              </w:rPr>
              <w:t>DEM</w:t>
            </w:r>
          </w:p>
        </w:tc>
        <w:tc>
          <w:tcPr>
            <w:tcW w:w="338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8C1DA83">
            <w:pPr>
              <w:spacing w:after="0" w:line="269" w:lineRule="auto"/>
              <w:jc w:val="center"/>
            </w:pPr>
            <w:r>
              <w:rPr>
                <w:rFonts w:ascii="Noto Sans CJK SC" w:hAnsi="Noto Sans CJK SC" w:eastAsia="Noto Sans CJK SC"/>
                <w:b w:val="0"/>
                <w:color w:val="2D2D2D"/>
                <w:sz w:val="19"/>
              </w:rPr>
              <w:t>地形先验</w:t>
            </w:r>
          </w:p>
        </w:tc>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70F0E56">
            <w:pPr>
              <w:spacing w:after="0" w:line="269" w:lineRule="auto"/>
              <w:jc w:val="center"/>
            </w:pPr>
            <w:r>
              <w:rPr>
                <w:rFonts w:ascii="Noto Sans CJK SC" w:hAnsi="Noto Sans CJK SC" w:eastAsia="Noto Sans CJK SC"/>
                <w:b w:val="0"/>
                <w:color w:val="2D2D2D"/>
                <w:sz w:val="19"/>
              </w:rPr>
              <w:t>必需</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E240202">
            <w:pPr>
              <w:spacing w:after="0" w:line="269" w:lineRule="auto"/>
            </w:pPr>
            <w:r>
              <w:rPr>
                <w:rFonts w:ascii="Noto Sans CJK SC" w:hAnsi="Noto Sans CJK SC" w:eastAsia="Noto Sans CJK SC"/>
                <w:b w:val="0"/>
                <w:color w:val="2D2D2D"/>
                <w:sz w:val="19"/>
              </w:rPr>
              <w:t>帮助模型学习低洼、坡地等空间约束</w:t>
            </w:r>
          </w:p>
        </w:tc>
      </w:tr>
      <w:tr w14:paraId="5F8AE84D">
        <w:tblPrEx>
          <w:tblCellMar>
            <w:top w:w="0" w:type="dxa"/>
            <w:left w:w="108" w:type="dxa"/>
            <w:bottom w:w="0" w:type="dxa"/>
            <w:right w:w="108" w:type="dxa"/>
          </w:tblCellMar>
        </w:tblPrEx>
        <w:trPr>
          <w:cantSplit/>
          <w:jc w:val="center"/>
        </w:trPr>
        <w:tc>
          <w:tcPr>
            <w:tcW w:w="180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2FA571C">
            <w:pPr>
              <w:spacing w:after="0" w:line="269" w:lineRule="auto"/>
            </w:pPr>
            <w:r>
              <w:rPr>
                <w:rFonts w:ascii="Noto Sans CJK SC" w:hAnsi="Noto Sans CJK SC" w:eastAsia="Noto Sans CJK SC"/>
                <w:b/>
                <w:color w:val="2D2D2D"/>
                <w:sz w:val="19"/>
              </w:rPr>
              <w:t>MASK</w:t>
            </w:r>
          </w:p>
        </w:tc>
        <w:tc>
          <w:tcPr>
            <w:tcW w:w="338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65588F1">
            <w:pPr>
              <w:spacing w:after="0" w:line="269" w:lineRule="auto"/>
              <w:jc w:val="center"/>
            </w:pPr>
            <w:r>
              <w:rPr>
                <w:rFonts w:ascii="Noto Sans CJK SC" w:hAnsi="Noto Sans CJK SC" w:eastAsia="Noto Sans CJK SC"/>
                <w:b w:val="0"/>
                <w:color w:val="2D2D2D"/>
                <w:sz w:val="19"/>
              </w:rPr>
              <w:t>洪水真值</w:t>
            </w:r>
          </w:p>
        </w:tc>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6320753">
            <w:pPr>
              <w:spacing w:after="0" w:line="269" w:lineRule="auto"/>
              <w:jc w:val="center"/>
            </w:pPr>
            <w:r>
              <w:rPr>
                <w:rFonts w:ascii="Noto Sans CJK SC" w:hAnsi="Noto Sans CJK SC" w:eastAsia="Noto Sans CJK SC"/>
                <w:b w:val="0"/>
                <w:color w:val="2D2D2D"/>
                <w:sz w:val="19"/>
              </w:rPr>
              <w:t>必需</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FD05D8B">
            <w:pPr>
              <w:spacing w:after="0" w:line="269" w:lineRule="auto"/>
              <w:jc w:val="center"/>
            </w:pPr>
            <w:r>
              <w:rPr>
                <w:rFonts w:ascii="Noto Sans CJK SC" w:hAnsi="Noto Sans CJK SC" w:eastAsia="Noto Sans CJK SC"/>
                <w:b w:val="0"/>
                <w:color w:val="2D2D2D"/>
                <w:sz w:val="19"/>
              </w:rPr>
              <w:t>必须确认其对应时间点与来源</w:t>
            </w:r>
          </w:p>
        </w:tc>
      </w:tr>
    </w:tbl>
    <w:p w14:paraId="347689BB">
      <w:pPr>
        <w:keepNext/>
        <w:spacing w:before="180" w:after="100"/>
      </w:pPr>
      <w:r>
        <w:rPr>
          <w:rFonts w:ascii="Noto Sans CJK SC" w:hAnsi="Noto Sans CJK SC" w:eastAsia="Noto Sans CJK SC"/>
          <w:b/>
          <w:color w:val="2A587E"/>
          <w:sz w:val="26"/>
        </w:rPr>
        <w:t>3.1 数据下载策略</w:t>
      </w:r>
    </w:p>
    <w:p w14:paraId="01B2D15D">
      <w:pPr>
        <w:spacing w:after="120" w:line="300" w:lineRule="auto"/>
        <w:ind w:firstLine="440"/>
      </w:pPr>
      <w:r>
        <w:rPr>
          <w:rFonts w:ascii="Noto Sans CJK SC" w:hAnsi="Noto Sans CJK SC" w:eastAsia="Noto Sans CJK SC"/>
          <w:b w:val="0"/>
          <w:i w:val="0"/>
          <w:color w:val="222222"/>
          <w:sz w:val="22"/>
        </w:rPr>
        <w:t>不要一开始下载完整数据。官方数据卡目前显示仓库总文件规模约 209 GB，并支持按 split 下载。阶段一优先下载 validation split，确认读取、可视化、标签和训练流程后，再选择性扩展到 train/test。</w:t>
      </w:r>
    </w:p>
    <w:tbl>
      <w:tblPr>
        <w:tblStyle w:val="32"/>
        <w:tblW w:w="0" w:type="auto"/>
        <w:jc w:val="center"/>
        <w:tblLayout w:type="fixed"/>
        <w:tblCellMar>
          <w:top w:w="0" w:type="dxa"/>
          <w:left w:w="108" w:type="dxa"/>
          <w:bottom w:w="0" w:type="dxa"/>
          <w:right w:w="108" w:type="dxa"/>
        </w:tblCellMar>
      </w:tblPr>
      <w:tblGrid>
        <w:gridCol w:w="9288"/>
      </w:tblGrid>
      <w:tr w14:paraId="6C8A1049">
        <w:tblPrEx>
          <w:tblCellMar>
            <w:top w:w="0" w:type="dxa"/>
            <w:left w:w="108" w:type="dxa"/>
            <w:bottom w:w="0" w:type="dxa"/>
            <w:right w:w="108" w:type="dxa"/>
          </w:tblCellMar>
        </w:tblPrEx>
        <w:trPr>
          <w:jc w:val="center"/>
        </w:trPr>
        <w:tc>
          <w:tcPr>
            <w:tcW w:w="9288" w:type="dxa"/>
            <w:tcBorders>
              <w:top w:val="single" w:color="1F4E78" w:sz="6" w:space="0"/>
              <w:left w:val="single" w:color="1F4E78" w:sz="6" w:space="0"/>
              <w:bottom w:val="single" w:color="1F4E78" w:sz="6" w:space="0"/>
              <w:right w:val="single" w:color="1F4E78" w:sz="6" w:space="0"/>
            </w:tcBorders>
            <w:shd w:val="clear" w:color="auto" w:fill="DDEBF7"/>
            <w:tcMar>
              <w:top w:w="140" w:type="dxa"/>
              <w:left w:w="160" w:type="dxa"/>
              <w:bottom w:w="140" w:type="dxa"/>
              <w:right w:w="160" w:type="dxa"/>
            </w:tcMar>
          </w:tcPr>
          <w:p w14:paraId="44708894">
            <w:pPr>
              <w:spacing w:after="60"/>
            </w:pPr>
            <w:r>
              <w:rPr>
                <w:rFonts w:ascii="Noto Sans CJK SC" w:hAnsi="Noto Sans CJK SC" w:eastAsia="Noto Sans CJK SC"/>
                <w:b/>
                <w:color w:val="1F4E78"/>
                <w:sz w:val="23"/>
              </w:rPr>
              <w:t>建议</w:t>
            </w:r>
          </w:p>
          <w:p w14:paraId="343DD6F7">
            <w:pPr>
              <w:spacing w:after="0" w:line="288" w:lineRule="auto"/>
            </w:pPr>
            <w:r>
              <w:rPr>
                <w:rFonts w:ascii="Noto Sans CJK SC" w:hAnsi="Noto Sans CJK SC" w:eastAsia="Noto Sans CJK SC"/>
                <w:color w:val="2D2D2D"/>
                <w:sz w:val="21"/>
              </w:rPr>
              <w:t>第一轮只需要拿到足以可视化和跑通几十到数百个样本的数据；不要把“下载全量数据”当作开工条件。</w:t>
            </w:r>
          </w:p>
        </w:tc>
      </w:tr>
    </w:tbl>
    <w:p w14:paraId="53B73752">
      <w:pPr>
        <w:spacing w:after="40"/>
      </w:pPr>
    </w:p>
    <w:p w14:paraId="4281FF7C">
      <w:pPr>
        <w:keepNext/>
        <w:spacing w:before="240" w:after="140"/>
      </w:pPr>
      <w:r>
        <w:rPr>
          <w:rFonts w:ascii="Noto Sans CJK SC" w:hAnsi="Noto Sans CJK SC" w:eastAsia="Noto Sans CJK SC"/>
          <w:b/>
          <w:color w:val="1C4874"/>
          <w:sz w:val="32"/>
        </w:rPr>
        <w:t>四、第一道关卡：时间与标签核验</w:t>
      </w:r>
    </w:p>
    <w:p w14:paraId="48FFB744">
      <w:pPr>
        <w:spacing w:after="120" w:line="300" w:lineRule="auto"/>
        <w:ind w:firstLine="440"/>
      </w:pPr>
      <w:r>
        <w:rPr>
          <w:rFonts w:ascii="Noto Sans CJK SC" w:hAnsi="Noto Sans CJK SC" w:eastAsia="Noto Sans CJK SC"/>
          <w:b w:val="0"/>
          <w:i w:val="0"/>
          <w:color w:val="222222"/>
          <w:sz w:val="22"/>
        </w:rPr>
        <w:t>这是整个选题最重要的技术核验。需要对至少 20 个不同洪灾事件建立时相表，并将图像肉眼可视化。不要只看文件名。</w:t>
      </w:r>
    </w:p>
    <w:tbl>
      <w:tblPr>
        <w:tblStyle w:val="32"/>
        <w:tblW w:w="0" w:type="auto"/>
        <w:jc w:val="center"/>
        <w:tblLayout w:type="fixed"/>
        <w:tblCellMar>
          <w:top w:w="0" w:type="dxa"/>
          <w:left w:w="108" w:type="dxa"/>
          <w:bottom w:w="0" w:type="dxa"/>
          <w:right w:w="108" w:type="dxa"/>
        </w:tblCellMar>
      </w:tblPr>
      <w:tblGrid>
        <w:gridCol w:w="1666"/>
        <w:gridCol w:w="1666"/>
        <w:gridCol w:w="1666"/>
        <w:gridCol w:w="1666"/>
        <w:gridCol w:w="1666"/>
        <w:gridCol w:w="1666"/>
      </w:tblGrid>
      <w:tr w14:paraId="21C3C44E">
        <w:tblPrEx>
          <w:tblCellMar>
            <w:top w:w="0" w:type="dxa"/>
            <w:left w:w="108" w:type="dxa"/>
            <w:bottom w:w="0" w:type="dxa"/>
            <w:right w:w="108" w:type="dxa"/>
          </w:tblCellMar>
        </w:tblPrEx>
        <w:trPr>
          <w:cantSplit/>
          <w:tblHeader/>
          <w:jc w:val="center"/>
        </w:trPr>
        <w:tc>
          <w:tcPr>
            <w:tcW w:w="1296"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2EF005D7">
            <w:pPr>
              <w:spacing w:after="0" w:line="269" w:lineRule="auto"/>
            </w:pPr>
            <w:r>
              <w:rPr>
                <w:rFonts w:ascii="Noto Sans CJK SC" w:hAnsi="Noto Sans CJK SC" w:eastAsia="Noto Sans CJK SC"/>
                <w:b/>
                <w:color w:val="1F4E79"/>
                <w:sz w:val="17"/>
              </w:rPr>
              <w:t>事件ID</w:t>
            </w:r>
          </w:p>
        </w:tc>
        <w:tc>
          <w:tcPr>
            <w:tcW w:w="1440"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1280FBAF">
            <w:pPr>
              <w:spacing w:after="0" w:line="269" w:lineRule="auto"/>
              <w:jc w:val="center"/>
            </w:pPr>
            <w:r>
              <w:rPr>
                <w:rFonts w:ascii="Noto Sans CJK SC" w:hAnsi="Noto Sans CJK SC" w:eastAsia="Noto Sans CJK SC"/>
                <w:b/>
                <w:color w:val="1F4E79"/>
                <w:sz w:val="17"/>
              </w:rPr>
              <w:t>Pre-month</w:t>
            </w:r>
          </w:p>
        </w:tc>
        <w:tc>
          <w:tcPr>
            <w:tcW w:w="1440"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6DCCAF66">
            <w:pPr>
              <w:spacing w:after="0" w:line="269" w:lineRule="auto"/>
              <w:jc w:val="center"/>
            </w:pPr>
            <w:r>
              <w:rPr>
                <w:rFonts w:ascii="Noto Sans CJK SC" w:hAnsi="Noto Sans CJK SC" w:eastAsia="Noto Sans CJK SC"/>
                <w:b/>
                <w:color w:val="1F4E79"/>
                <w:sz w:val="17"/>
              </w:rPr>
              <w:t>Pre-event</w:t>
            </w:r>
          </w:p>
        </w:tc>
        <w:tc>
          <w:tcPr>
            <w:tcW w:w="1440"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6635015A">
            <w:pPr>
              <w:spacing w:after="0" w:line="269" w:lineRule="auto"/>
              <w:jc w:val="center"/>
            </w:pPr>
            <w:r>
              <w:rPr>
                <w:rFonts w:ascii="Noto Sans CJK SC" w:hAnsi="Noto Sans CJK SC" w:eastAsia="Noto Sans CJK SC"/>
                <w:b/>
                <w:color w:val="1F4E79"/>
                <w:sz w:val="17"/>
              </w:rPr>
              <w:t>Event</w:t>
            </w:r>
          </w:p>
        </w:tc>
        <w:tc>
          <w:tcPr>
            <w:tcW w:w="1440"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465A2B5C">
            <w:pPr>
              <w:spacing w:after="0" w:line="269" w:lineRule="auto"/>
              <w:jc w:val="center"/>
            </w:pPr>
            <w:r>
              <w:rPr>
                <w:rFonts w:ascii="Noto Sans CJK SC" w:hAnsi="Noto Sans CJK SC" w:eastAsia="Noto Sans CJK SC"/>
                <w:b/>
                <w:color w:val="1F4E79"/>
                <w:sz w:val="17"/>
              </w:rPr>
              <w:t>Post-event</w:t>
            </w:r>
          </w:p>
        </w:tc>
        <w:tc>
          <w:tcPr>
            <w:tcW w:w="2592"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40BCC150">
            <w:pPr>
              <w:spacing w:after="0" w:line="269" w:lineRule="auto"/>
              <w:jc w:val="center"/>
            </w:pPr>
            <w:r>
              <w:rPr>
                <w:rFonts w:ascii="Noto Sans CJK SC" w:hAnsi="Noto Sans CJK SC" w:eastAsia="Noto Sans CJK SC"/>
                <w:b/>
                <w:color w:val="1F4E79"/>
                <w:sz w:val="17"/>
              </w:rPr>
              <w:t>MASK 对应时刻/结论</w:t>
            </w:r>
          </w:p>
        </w:tc>
      </w:tr>
      <w:tr w14:paraId="199A7312">
        <w:tblPrEx>
          <w:tblCellMar>
            <w:top w:w="0" w:type="dxa"/>
            <w:left w:w="108" w:type="dxa"/>
            <w:bottom w:w="0" w:type="dxa"/>
            <w:right w:w="108" w:type="dxa"/>
          </w:tblCellMar>
        </w:tblPrEx>
        <w:trPr>
          <w:cantSplit/>
          <w:jc w:val="center"/>
        </w:trPr>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904B972">
            <w:pPr>
              <w:spacing w:after="0" w:line="269" w:lineRule="auto"/>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0A46545">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3E09290">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C3F6BDC">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8F9AE50">
            <w:pPr>
              <w:spacing w:after="0" w:line="269" w:lineRule="auto"/>
              <w:jc w:val="center"/>
            </w:pPr>
            <w:r>
              <w:rPr>
                <w:rFonts w:ascii="Noto Sans CJK SC" w:hAnsi="Noto Sans CJK SC" w:eastAsia="Noto Sans CJK SC"/>
                <w:b w:val="0"/>
                <w:color w:val="2D2D2D"/>
                <w:sz w:val="17"/>
              </w:rPr>
              <w:t>待填写</w:t>
            </w:r>
          </w:p>
        </w:tc>
        <w:tc>
          <w:tcPr>
            <w:tcW w:w="25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57956E7">
            <w:pPr>
              <w:spacing w:after="0" w:line="269" w:lineRule="auto"/>
              <w:jc w:val="center"/>
            </w:pPr>
            <w:r>
              <w:rPr>
                <w:rFonts w:ascii="Noto Sans CJK SC" w:hAnsi="Noto Sans CJK SC" w:eastAsia="Noto Sans CJK SC"/>
                <w:b w:val="0"/>
                <w:color w:val="2D2D2D"/>
                <w:sz w:val="17"/>
              </w:rPr>
              <w:t>待填写</w:t>
            </w:r>
          </w:p>
        </w:tc>
      </w:tr>
      <w:tr w14:paraId="6D857219">
        <w:tblPrEx>
          <w:tblCellMar>
            <w:top w:w="0" w:type="dxa"/>
            <w:left w:w="108" w:type="dxa"/>
            <w:bottom w:w="0" w:type="dxa"/>
            <w:right w:w="108" w:type="dxa"/>
          </w:tblCellMar>
        </w:tblPrEx>
        <w:trPr>
          <w:cantSplit/>
          <w:jc w:val="center"/>
        </w:trPr>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F1CDEC1">
            <w:pPr>
              <w:spacing w:after="0" w:line="269" w:lineRule="auto"/>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0FF868A">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0035599">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D066249">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4B105F2">
            <w:pPr>
              <w:spacing w:after="0" w:line="269" w:lineRule="auto"/>
              <w:jc w:val="center"/>
            </w:pPr>
            <w:r>
              <w:rPr>
                <w:rFonts w:ascii="Noto Sans CJK SC" w:hAnsi="Noto Sans CJK SC" w:eastAsia="Noto Sans CJK SC"/>
                <w:b w:val="0"/>
                <w:color w:val="2D2D2D"/>
                <w:sz w:val="17"/>
              </w:rPr>
              <w:t>待填写</w:t>
            </w:r>
          </w:p>
        </w:tc>
        <w:tc>
          <w:tcPr>
            <w:tcW w:w="25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5EFFE48">
            <w:pPr>
              <w:spacing w:after="0" w:line="269" w:lineRule="auto"/>
              <w:jc w:val="center"/>
            </w:pPr>
            <w:r>
              <w:rPr>
                <w:rFonts w:ascii="Noto Sans CJK SC" w:hAnsi="Noto Sans CJK SC" w:eastAsia="Noto Sans CJK SC"/>
                <w:b w:val="0"/>
                <w:color w:val="2D2D2D"/>
                <w:sz w:val="17"/>
              </w:rPr>
              <w:t>待填写</w:t>
            </w:r>
          </w:p>
        </w:tc>
      </w:tr>
      <w:tr w14:paraId="370D38FA">
        <w:tblPrEx>
          <w:tblCellMar>
            <w:top w:w="0" w:type="dxa"/>
            <w:left w:w="108" w:type="dxa"/>
            <w:bottom w:w="0" w:type="dxa"/>
            <w:right w:w="108" w:type="dxa"/>
          </w:tblCellMar>
        </w:tblPrEx>
        <w:trPr>
          <w:cantSplit/>
          <w:jc w:val="center"/>
        </w:trPr>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B936B8A">
            <w:pPr>
              <w:spacing w:after="0" w:line="269" w:lineRule="auto"/>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8AEAD2E">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7A328E7">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745ABC4">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A15BAC3">
            <w:pPr>
              <w:spacing w:after="0" w:line="269" w:lineRule="auto"/>
              <w:jc w:val="center"/>
            </w:pPr>
            <w:r>
              <w:rPr>
                <w:rFonts w:ascii="Noto Sans CJK SC" w:hAnsi="Noto Sans CJK SC" w:eastAsia="Noto Sans CJK SC"/>
                <w:b w:val="0"/>
                <w:color w:val="2D2D2D"/>
                <w:sz w:val="17"/>
              </w:rPr>
              <w:t>待填写</w:t>
            </w:r>
          </w:p>
        </w:tc>
        <w:tc>
          <w:tcPr>
            <w:tcW w:w="25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509F6E2">
            <w:pPr>
              <w:spacing w:after="0" w:line="269" w:lineRule="auto"/>
              <w:jc w:val="center"/>
            </w:pPr>
            <w:r>
              <w:rPr>
                <w:rFonts w:ascii="Noto Sans CJK SC" w:hAnsi="Noto Sans CJK SC" w:eastAsia="Noto Sans CJK SC"/>
                <w:b w:val="0"/>
                <w:color w:val="2D2D2D"/>
                <w:sz w:val="17"/>
              </w:rPr>
              <w:t>待填写</w:t>
            </w:r>
          </w:p>
        </w:tc>
      </w:tr>
      <w:tr w14:paraId="59DA50FF">
        <w:tblPrEx>
          <w:tblCellMar>
            <w:top w:w="0" w:type="dxa"/>
            <w:left w:w="108" w:type="dxa"/>
            <w:bottom w:w="0" w:type="dxa"/>
            <w:right w:w="108" w:type="dxa"/>
          </w:tblCellMar>
        </w:tblPrEx>
        <w:trPr>
          <w:cantSplit/>
          <w:jc w:val="center"/>
        </w:trPr>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6466771">
            <w:pPr>
              <w:spacing w:after="0" w:line="269" w:lineRule="auto"/>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93B8D1E">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85B7788">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9367432">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794525E">
            <w:pPr>
              <w:spacing w:after="0" w:line="269" w:lineRule="auto"/>
              <w:jc w:val="center"/>
            </w:pPr>
            <w:r>
              <w:rPr>
                <w:rFonts w:ascii="Noto Sans CJK SC" w:hAnsi="Noto Sans CJK SC" w:eastAsia="Noto Sans CJK SC"/>
                <w:b w:val="0"/>
                <w:color w:val="2D2D2D"/>
                <w:sz w:val="17"/>
              </w:rPr>
              <w:t>待填写</w:t>
            </w:r>
          </w:p>
        </w:tc>
        <w:tc>
          <w:tcPr>
            <w:tcW w:w="25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C21B1DC">
            <w:pPr>
              <w:spacing w:after="0" w:line="269" w:lineRule="auto"/>
              <w:jc w:val="center"/>
            </w:pPr>
            <w:r>
              <w:rPr>
                <w:rFonts w:ascii="Noto Sans CJK SC" w:hAnsi="Noto Sans CJK SC" w:eastAsia="Noto Sans CJK SC"/>
                <w:b w:val="0"/>
                <w:color w:val="2D2D2D"/>
                <w:sz w:val="17"/>
              </w:rPr>
              <w:t>待填写</w:t>
            </w:r>
          </w:p>
        </w:tc>
      </w:tr>
      <w:tr w14:paraId="50351BC6">
        <w:tblPrEx>
          <w:tblCellMar>
            <w:top w:w="0" w:type="dxa"/>
            <w:left w:w="108" w:type="dxa"/>
            <w:bottom w:w="0" w:type="dxa"/>
            <w:right w:w="108" w:type="dxa"/>
          </w:tblCellMar>
        </w:tblPrEx>
        <w:trPr>
          <w:cantSplit/>
          <w:jc w:val="center"/>
        </w:trPr>
        <w:tc>
          <w:tcPr>
            <w:tcW w:w="129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7E59178">
            <w:pPr>
              <w:spacing w:after="0" w:line="269" w:lineRule="auto"/>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4297392">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8F32916">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A1E5B12">
            <w:pPr>
              <w:spacing w:after="0" w:line="269" w:lineRule="auto"/>
              <w:jc w:val="center"/>
            </w:pPr>
            <w:r>
              <w:rPr>
                <w:rFonts w:ascii="Noto Sans CJK SC" w:hAnsi="Noto Sans CJK SC" w:eastAsia="Noto Sans CJK SC"/>
                <w:b w:val="0"/>
                <w:color w:val="2D2D2D"/>
                <w:sz w:val="17"/>
              </w:rPr>
              <w:t>待填写</w:t>
            </w:r>
          </w:p>
        </w:tc>
        <w:tc>
          <w:tcPr>
            <w:tcW w:w="144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070A182">
            <w:pPr>
              <w:spacing w:after="0" w:line="269" w:lineRule="auto"/>
              <w:jc w:val="center"/>
            </w:pPr>
            <w:r>
              <w:rPr>
                <w:rFonts w:ascii="Noto Sans CJK SC" w:hAnsi="Noto Sans CJK SC" w:eastAsia="Noto Sans CJK SC"/>
                <w:b w:val="0"/>
                <w:color w:val="2D2D2D"/>
                <w:sz w:val="17"/>
              </w:rPr>
              <w:t>待填写</w:t>
            </w:r>
          </w:p>
        </w:tc>
        <w:tc>
          <w:tcPr>
            <w:tcW w:w="25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A9982F5">
            <w:pPr>
              <w:spacing w:after="0" w:line="269" w:lineRule="auto"/>
              <w:jc w:val="center"/>
            </w:pPr>
            <w:r>
              <w:rPr>
                <w:rFonts w:ascii="Noto Sans CJK SC" w:hAnsi="Noto Sans CJK SC" w:eastAsia="Noto Sans CJK SC"/>
                <w:b w:val="0"/>
                <w:color w:val="2D2D2D"/>
                <w:sz w:val="17"/>
              </w:rPr>
              <w:t>待填写</w:t>
            </w:r>
          </w:p>
        </w:tc>
      </w:tr>
    </w:tbl>
    <w:p w14:paraId="1167B8C3">
      <w:pPr>
        <w:keepNext/>
        <w:spacing w:before="180" w:after="100"/>
      </w:pPr>
      <w:r>
        <w:rPr>
          <w:rFonts w:ascii="Noto Sans CJK SC" w:hAnsi="Noto Sans CJK SC" w:eastAsia="Noto Sans CJK SC"/>
          <w:b/>
          <w:color w:val="2A587E"/>
          <w:sz w:val="26"/>
        </w:rPr>
        <w:t>4.1 每个样本必须完成的可视化</w:t>
      </w:r>
    </w:p>
    <w:tbl>
      <w:tblPr>
        <w:tblStyle w:val="32"/>
        <w:tblW w:w="0" w:type="auto"/>
        <w:jc w:val="center"/>
        <w:tblLayout w:type="fixed"/>
        <w:tblCellMar>
          <w:top w:w="0" w:type="dxa"/>
          <w:left w:w="108" w:type="dxa"/>
          <w:bottom w:w="0" w:type="dxa"/>
          <w:right w:w="108" w:type="dxa"/>
        </w:tblCellMar>
      </w:tblPr>
      <w:tblGrid>
        <w:gridCol w:w="1325"/>
        <w:gridCol w:w="317"/>
        <w:gridCol w:w="1325"/>
        <w:gridCol w:w="317"/>
        <w:gridCol w:w="1325"/>
        <w:gridCol w:w="317"/>
        <w:gridCol w:w="1325"/>
        <w:gridCol w:w="317"/>
        <w:gridCol w:w="1325"/>
        <w:gridCol w:w="317"/>
        <w:gridCol w:w="1325"/>
      </w:tblGrid>
      <w:tr w14:paraId="64241ABD">
        <w:tblPrEx>
          <w:tblCellMar>
            <w:top w:w="0" w:type="dxa"/>
            <w:left w:w="108" w:type="dxa"/>
            <w:bottom w:w="0" w:type="dxa"/>
            <w:right w:w="108" w:type="dxa"/>
          </w:tblCellMar>
        </w:tblPrEx>
        <w:trPr>
          <w:jc w:val="center"/>
        </w:trPr>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2031E9A5">
            <w:pPr>
              <w:spacing w:after="0"/>
              <w:jc w:val="center"/>
            </w:pPr>
            <w:r>
              <w:rPr>
                <w:rFonts w:ascii="Noto Sans CJK SC" w:hAnsi="Noto Sans CJK SC" w:eastAsia="Noto Sans CJK SC"/>
                <w:b/>
                <w:color w:val="1F4E79"/>
                <w:sz w:val="18"/>
              </w:rPr>
              <w:t>Pre-month</w:t>
            </w:r>
          </w:p>
        </w:tc>
        <w:tc>
          <w:tcPr>
            <w:tcW w:w="909" w:type="dxa"/>
            <w:tcMar>
              <w:top w:w="100" w:type="dxa"/>
              <w:left w:w="40" w:type="dxa"/>
              <w:bottom w:w="100" w:type="dxa"/>
              <w:right w:w="40" w:type="dxa"/>
            </w:tcMar>
            <w:vAlign w:val="center"/>
          </w:tcPr>
          <w:p w14:paraId="50179AC3">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36099E0D">
            <w:pPr>
              <w:spacing w:after="0"/>
              <w:jc w:val="center"/>
            </w:pPr>
            <w:r>
              <w:rPr>
                <w:rFonts w:ascii="Noto Sans CJK SC" w:hAnsi="Noto Sans CJK SC" w:eastAsia="Noto Sans CJK SC"/>
                <w:b/>
                <w:color w:val="1F4E79"/>
                <w:sz w:val="18"/>
              </w:rPr>
              <w:t>Pre-event</w:t>
            </w:r>
          </w:p>
        </w:tc>
        <w:tc>
          <w:tcPr>
            <w:tcW w:w="909" w:type="dxa"/>
            <w:tcMar>
              <w:top w:w="100" w:type="dxa"/>
              <w:left w:w="40" w:type="dxa"/>
              <w:bottom w:w="100" w:type="dxa"/>
              <w:right w:w="40" w:type="dxa"/>
            </w:tcMar>
            <w:vAlign w:val="center"/>
          </w:tcPr>
          <w:p w14:paraId="29827EEC">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18321D63">
            <w:pPr>
              <w:spacing w:after="0"/>
              <w:jc w:val="center"/>
            </w:pPr>
            <w:r>
              <w:rPr>
                <w:rFonts w:ascii="Noto Sans CJK SC" w:hAnsi="Noto Sans CJK SC" w:eastAsia="Noto Sans CJK SC"/>
                <w:b/>
                <w:color w:val="1F4E79"/>
                <w:sz w:val="18"/>
              </w:rPr>
              <w:t>Event</w:t>
            </w:r>
          </w:p>
        </w:tc>
        <w:tc>
          <w:tcPr>
            <w:tcW w:w="909" w:type="dxa"/>
            <w:tcMar>
              <w:top w:w="100" w:type="dxa"/>
              <w:left w:w="40" w:type="dxa"/>
              <w:bottom w:w="100" w:type="dxa"/>
              <w:right w:w="40" w:type="dxa"/>
            </w:tcMar>
            <w:vAlign w:val="center"/>
          </w:tcPr>
          <w:p w14:paraId="4A0D9D5A">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395B8D88">
            <w:pPr>
              <w:spacing w:after="0"/>
              <w:jc w:val="center"/>
            </w:pPr>
            <w:r>
              <w:rPr>
                <w:rFonts w:ascii="Noto Sans CJK SC" w:hAnsi="Noto Sans CJK SC" w:eastAsia="Noto Sans CJK SC"/>
                <w:b/>
                <w:color w:val="1F4E79"/>
                <w:sz w:val="18"/>
              </w:rPr>
              <w:t>Post-event</w:t>
            </w:r>
          </w:p>
        </w:tc>
        <w:tc>
          <w:tcPr>
            <w:tcW w:w="909" w:type="dxa"/>
            <w:tcMar>
              <w:top w:w="100" w:type="dxa"/>
              <w:left w:w="40" w:type="dxa"/>
              <w:bottom w:w="100" w:type="dxa"/>
              <w:right w:w="40" w:type="dxa"/>
            </w:tcMar>
            <w:vAlign w:val="center"/>
          </w:tcPr>
          <w:p w14:paraId="30A4D8A3">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6A99E3C0">
            <w:pPr>
              <w:spacing w:after="0"/>
              <w:jc w:val="center"/>
            </w:pPr>
            <w:r>
              <w:rPr>
                <w:rFonts w:ascii="Noto Sans CJK SC" w:hAnsi="Noto Sans CJK SC" w:eastAsia="Noto Sans CJK SC"/>
                <w:b/>
                <w:color w:val="1F4E79"/>
                <w:sz w:val="18"/>
              </w:rPr>
              <w:t>DEM</w:t>
            </w:r>
          </w:p>
        </w:tc>
        <w:tc>
          <w:tcPr>
            <w:tcW w:w="909" w:type="dxa"/>
            <w:tcMar>
              <w:top w:w="100" w:type="dxa"/>
              <w:left w:w="40" w:type="dxa"/>
              <w:bottom w:w="100" w:type="dxa"/>
              <w:right w:w="40" w:type="dxa"/>
            </w:tcMar>
            <w:vAlign w:val="center"/>
          </w:tcPr>
          <w:p w14:paraId="75F8DCD9">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356E2A02">
            <w:pPr>
              <w:spacing w:after="0"/>
              <w:jc w:val="center"/>
            </w:pPr>
            <w:r>
              <w:rPr>
                <w:rFonts w:ascii="Noto Sans CJK SC" w:hAnsi="Noto Sans CJK SC" w:eastAsia="Noto Sans CJK SC"/>
                <w:b/>
                <w:color w:val="1F4E79"/>
                <w:sz w:val="18"/>
              </w:rPr>
              <w:t>MASK</w:t>
            </w:r>
          </w:p>
        </w:tc>
      </w:tr>
    </w:tbl>
    <w:p w14:paraId="6B3863FD">
      <w:pPr>
        <w:spacing w:after="60"/>
      </w:pPr>
    </w:p>
    <w:p w14:paraId="44FC5739">
      <w:pPr>
        <w:pStyle w:val="16"/>
        <w:spacing w:after="60" w:line="288" w:lineRule="auto"/>
      </w:pPr>
      <w:r>
        <w:rPr>
          <w:rFonts w:ascii="Noto Sans CJK SC" w:hAnsi="Noto Sans CJK SC" w:eastAsia="Noto Sans CJK SC"/>
          <w:color w:val="222222"/>
          <w:sz w:val="22"/>
        </w:rPr>
        <w:t>SAR 建议分别查看 VV、VH，必要时再生成伪彩色组合。</w:t>
      </w:r>
    </w:p>
    <w:p w14:paraId="70FE0FC8">
      <w:pPr>
        <w:pStyle w:val="16"/>
        <w:spacing w:after="60" w:line="288" w:lineRule="auto"/>
      </w:pPr>
      <w:r>
        <w:rPr>
          <w:rFonts w:ascii="Noto Sans CJK SC" w:hAnsi="Noto Sans CJK SC" w:eastAsia="Noto Sans CJK SC"/>
          <w:color w:val="222222"/>
          <w:sz w:val="22"/>
        </w:rPr>
        <w:t>所有图使用同一空间范围和方向，避免视觉误判。</w:t>
      </w:r>
    </w:p>
    <w:p w14:paraId="35E6D50B">
      <w:pPr>
        <w:pStyle w:val="16"/>
        <w:spacing w:after="60" w:line="288" w:lineRule="auto"/>
      </w:pPr>
      <w:r>
        <w:rPr>
          <w:rFonts w:ascii="Noto Sans CJK SC" w:hAnsi="Noto Sans CJK SC" w:eastAsia="Noto Sans CJK SC"/>
          <w:color w:val="222222"/>
          <w:sz w:val="22"/>
        </w:rPr>
        <w:t>记录采集日期、事件 ID、图块 ID、MASK 类别含义。</w:t>
      </w:r>
    </w:p>
    <w:p w14:paraId="606D61A6">
      <w:pPr>
        <w:pStyle w:val="16"/>
        <w:spacing w:after="60" w:line="288" w:lineRule="auto"/>
      </w:pPr>
      <w:r>
        <w:rPr>
          <w:rFonts w:ascii="Noto Sans CJK SC" w:hAnsi="Noto Sans CJK SC" w:eastAsia="Noto Sans CJK SC"/>
          <w:color w:val="222222"/>
          <w:sz w:val="22"/>
        </w:rPr>
        <w:t>重点观察 event 与 post-event 哪一个更接近最大淹没范围。</w:t>
      </w:r>
    </w:p>
    <w:p w14:paraId="04CEA758">
      <w:pPr>
        <w:pStyle w:val="16"/>
        <w:spacing w:after="60" w:line="288" w:lineRule="auto"/>
      </w:pPr>
      <w:r>
        <w:rPr>
          <w:rFonts w:ascii="Noto Sans CJK SC" w:hAnsi="Noto Sans CJK SC" w:eastAsia="Noto Sans CJK SC"/>
          <w:color w:val="222222"/>
          <w:sz w:val="22"/>
        </w:rPr>
        <w:t>若不同事件时间语义不一致，建立可用事件筛选规则，而不是强行统一。</w:t>
      </w:r>
    </w:p>
    <w:p w14:paraId="39F7EA4B">
      <w:pPr>
        <w:keepNext/>
        <w:spacing w:before="180" w:after="100"/>
      </w:pPr>
      <w:r>
        <w:rPr>
          <w:rFonts w:ascii="Noto Sans CJK SC" w:hAnsi="Noto Sans CJK SC" w:eastAsia="Noto Sans CJK SC"/>
          <w:b/>
          <w:color w:val="2A587E"/>
          <w:sz w:val="26"/>
        </w:rPr>
        <w:t>4.2 判定规则</w:t>
      </w:r>
    </w:p>
    <w:tbl>
      <w:tblPr>
        <w:tblStyle w:val="32"/>
        <w:tblW w:w="0" w:type="auto"/>
        <w:jc w:val="center"/>
        <w:tblLayout w:type="fixed"/>
        <w:tblCellMar>
          <w:top w:w="0" w:type="dxa"/>
          <w:left w:w="108" w:type="dxa"/>
          <w:bottom w:w="0" w:type="dxa"/>
          <w:right w:w="108" w:type="dxa"/>
        </w:tblCellMar>
      </w:tblPr>
      <w:tblGrid>
        <w:gridCol w:w="3331"/>
        <w:gridCol w:w="3331"/>
        <w:gridCol w:w="3331"/>
      </w:tblGrid>
      <w:tr w14:paraId="20A7A098">
        <w:tblPrEx>
          <w:tblCellMar>
            <w:top w:w="0" w:type="dxa"/>
            <w:left w:w="108" w:type="dxa"/>
            <w:bottom w:w="0" w:type="dxa"/>
            <w:right w:w="108" w:type="dxa"/>
          </w:tblCellMar>
        </w:tblPrEx>
        <w:trPr>
          <w:cantSplit/>
          <w:tblHeader/>
          <w:jc w:val="center"/>
        </w:trPr>
        <w:tc>
          <w:tcPr>
            <w:tcW w:w="3024"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472917FE">
            <w:pPr>
              <w:spacing w:after="0" w:line="269" w:lineRule="auto"/>
            </w:pPr>
            <w:r>
              <w:rPr>
                <w:rFonts w:ascii="Noto Sans CJK SC" w:hAnsi="Noto Sans CJK SC" w:eastAsia="Noto Sans CJK SC"/>
                <w:b/>
                <w:color w:val="1F4E79"/>
                <w:sz w:val="19"/>
              </w:rPr>
              <w:t>核验结果</w:t>
            </w:r>
          </w:p>
        </w:tc>
        <w:tc>
          <w:tcPr>
            <w:tcW w:w="3024"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45CD1D26">
            <w:pPr>
              <w:spacing w:after="0" w:line="269" w:lineRule="auto"/>
              <w:jc w:val="center"/>
            </w:pPr>
            <w:r>
              <w:rPr>
                <w:rFonts w:ascii="Noto Sans CJK SC" w:hAnsi="Noto Sans CJK SC" w:eastAsia="Noto Sans CJK SC"/>
                <w:b/>
                <w:color w:val="1F4E79"/>
                <w:sz w:val="19"/>
              </w:rPr>
              <w:t>项目动作</w:t>
            </w:r>
          </w:p>
        </w:tc>
        <w:tc>
          <w:tcPr>
            <w:tcW w:w="3456"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46FC9595">
            <w:pPr>
              <w:spacing w:after="0" w:line="269" w:lineRule="auto"/>
              <w:jc w:val="center"/>
            </w:pPr>
            <w:r>
              <w:rPr>
                <w:rFonts w:ascii="Noto Sans CJK SC" w:hAnsi="Noto Sans CJK SC" w:eastAsia="Noto Sans CJK SC"/>
                <w:b/>
                <w:color w:val="1F4E79"/>
                <w:sz w:val="19"/>
              </w:rPr>
              <w:t>项目表述</w:t>
            </w:r>
          </w:p>
        </w:tc>
      </w:tr>
      <w:tr w14:paraId="3F3BA5A6">
        <w:tblPrEx>
          <w:tblCellMar>
            <w:top w:w="0" w:type="dxa"/>
            <w:left w:w="108" w:type="dxa"/>
            <w:bottom w:w="0" w:type="dxa"/>
            <w:right w:w="108" w:type="dxa"/>
          </w:tblCellMar>
        </w:tblPrEx>
        <w:trPr>
          <w:cantSplit/>
          <w:jc w:val="center"/>
        </w:trPr>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012751E">
            <w:pPr>
              <w:spacing w:after="0" w:line="269" w:lineRule="auto"/>
            </w:pPr>
            <w:r>
              <w:rPr>
                <w:rFonts w:ascii="Noto Sans CJK SC" w:hAnsi="Noto Sans CJK SC" w:eastAsia="Noto Sans CJK SC"/>
                <w:b/>
                <w:color w:val="2D2D2D"/>
                <w:sz w:val="19"/>
              </w:rPr>
              <w:t>A：存在稳定“早期 → 后期”关系</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34D735C">
            <w:pPr>
              <w:spacing w:after="0" w:line="269" w:lineRule="auto"/>
              <w:jc w:val="center"/>
            </w:pPr>
            <w:r>
              <w:rPr>
                <w:rFonts w:ascii="Noto Sans CJK SC" w:hAnsi="Noto Sans CJK SC" w:eastAsia="Noto Sans CJK SC"/>
                <w:b w:val="0"/>
                <w:color w:val="2D2D2D"/>
                <w:sz w:val="19"/>
              </w:rPr>
              <w:t>进入演化预测任务</w:t>
            </w:r>
          </w:p>
        </w:tc>
        <w:tc>
          <w:tcPr>
            <w:tcW w:w="345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2A2EEA3">
            <w:pPr>
              <w:spacing w:after="0" w:line="269" w:lineRule="auto"/>
            </w:pPr>
            <w:r>
              <w:rPr>
                <w:rFonts w:ascii="Noto Sans CJK SC" w:hAnsi="Noto Sans CJK SC" w:eastAsia="Noto Sans CJK SC"/>
                <w:b w:val="0"/>
                <w:color w:val="2D2D2D"/>
                <w:sz w:val="19"/>
              </w:rPr>
              <w:t>“早期 SAR 驱动的后续洪涝演化预测”</w:t>
            </w:r>
          </w:p>
        </w:tc>
      </w:tr>
      <w:tr w14:paraId="764FB835">
        <w:tblPrEx>
          <w:tblCellMar>
            <w:top w:w="0" w:type="dxa"/>
            <w:left w:w="108" w:type="dxa"/>
            <w:bottom w:w="0" w:type="dxa"/>
            <w:right w:w="108" w:type="dxa"/>
          </w:tblCellMar>
        </w:tblPrEx>
        <w:trPr>
          <w:cantSplit/>
          <w:jc w:val="center"/>
        </w:trPr>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A126D40">
            <w:pPr>
              <w:spacing w:after="0" w:line="269" w:lineRule="auto"/>
            </w:pPr>
            <w:r>
              <w:rPr>
                <w:rFonts w:ascii="Noto Sans CJK SC" w:hAnsi="Noto Sans CJK SC" w:eastAsia="Noto Sans CJK SC"/>
                <w:b/>
                <w:color w:val="2D2D2D"/>
                <w:sz w:val="19"/>
              </w:rPr>
              <w:t>B：MASK 只对应 event 当前状态</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8282506">
            <w:pPr>
              <w:spacing w:after="0" w:line="269" w:lineRule="auto"/>
              <w:jc w:val="center"/>
            </w:pPr>
            <w:r>
              <w:rPr>
                <w:rFonts w:ascii="Noto Sans CJK SC" w:hAnsi="Noto Sans CJK SC" w:eastAsia="Noto Sans CJK SC"/>
                <w:b w:val="0"/>
                <w:color w:val="2D2D2D"/>
                <w:sz w:val="19"/>
              </w:rPr>
              <w:t>先完成当前洪水分割/评估</w:t>
            </w:r>
          </w:p>
        </w:tc>
        <w:tc>
          <w:tcPr>
            <w:tcW w:w="345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65F7D1B">
            <w:pPr>
              <w:spacing w:after="0" w:line="269" w:lineRule="auto"/>
            </w:pPr>
            <w:r>
              <w:rPr>
                <w:rFonts w:ascii="Noto Sans CJK SC" w:hAnsi="Noto Sans CJK SC" w:eastAsia="Noto Sans CJK SC"/>
                <w:b w:val="0"/>
                <w:color w:val="2D2D2D"/>
                <w:sz w:val="19"/>
              </w:rPr>
              <w:t>“多时相 SAR 洪涝智能评估”</w:t>
            </w:r>
          </w:p>
        </w:tc>
      </w:tr>
      <w:tr w14:paraId="1B594D28">
        <w:tblPrEx>
          <w:tblCellMar>
            <w:top w:w="0" w:type="dxa"/>
            <w:left w:w="108" w:type="dxa"/>
            <w:bottom w:w="0" w:type="dxa"/>
            <w:right w:w="108" w:type="dxa"/>
          </w:tblCellMar>
        </w:tblPrEx>
        <w:trPr>
          <w:cantSplit/>
          <w:jc w:val="center"/>
        </w:trPr>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77EC7D2">
            <w:pPr>
              <w:spacing w:after="0" w:line="269" w:lineRule="auto"/>
            </w:pPr>
            <w:r>
              <w:rPr>
                <w:rFonts w:ascii="Noto Sans CJK SC" w:hAnsi="Noto Sans CJK SC" w:eastAsia="Noto Sans CJK SC"/>
                <w:b/>
                <w:color w:val="2D2D2D"/>
                <w:sz w:val="19"/>
              </w:rPr>
              <w:t>C：不同事件关系差异较大</w:t>
            </w:r>
          </w:p>
        </w:tc>
        <w:tc>
          <w:tcPr>
            <w:tcW w:w="302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F2611C4">
            <w:pPr>
              <w:spacing w:after="0" w:line="269" w:lineRule="auto"/>
              <w:jc w:val="center"/>
            </w:pPr>
            <w:r>
              <w:rPr>
                <w:rFonts w:ascii="Noto Sans CJK SC" w:hAnsi="Noto Sans CJK SC" w:eastAsia="Noto Sans CJK SC"/>
                <w:b w:val="0"/>
                <w:color w:val="2D2D2D"/>
                <w:sz w:val="19"/>
              </w:rPr>
              <w:t>筛选子集，记录筛选标准</w:t>
            </w:r>
          </w:p>
        </w:tc>
        <w:tc>
          <w:tcPr>
            <w:tcW w:w="345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0D61B20">
            <w:pPr>
              <w:spacing w:after="0" w:line="269" w:lineRule="auto"/>
            </w:pPr>
            <w:r>
              <w:rPr>
                <w:rFonts w:ascii="Noto Sans CJK SC" w:hAnsi="Noto Sans CJK SC" w:eastAsia="Noto Sans CJK SC"/>
                <w:b w:val="0"/>
                <w:color w:val="2D2D2D"/>
                <w:sz w:val="19"/>
              </w:rPr>
              <w:t>“特定事件子集上的演化风险预测”</w:t>
            </w:r>
          </w:p>
        </w:tc>
      </w:tr>
    </w:tbl>
    <w:p w14:paraId="3BA8C7BC">
      <w:pPr>
        <w:keepNext/>
        <w:spacing w:before="240" w:after="140"/>
      </w:pPr>
      <w:r>
        <w:rPr>
          <w:rFonts w:ascii="Noto Sans CJK SC" w:hAnsi="Noto Sans CJK SC" w:eastAsia="Noto Sans CJK SC"/>
          <w:b/>
          <w:color w:val="1C4874"/>
          <w:sz w:val="32"/>
        </w:rPr>
        <w:t>五、模型实施路线</w:t>
      </w:r>
    </w:p>
    <w:p w14:paraId="651324D7">
      <w:pPr>
        <w:spacing w:after="120" w:line="300" w:lineRule="auto"/>
        <w:ind w:firstLine="440"/>
      </w:pPr>
      <w:r>
        <w:rPr>
          <w:rFonts w:ascii="Noto Sans CJK SC" w:hAnsi="Noto Sans CJK SC" w:eastAsia="Noto Sans CJK SC"/>
          <w:b w:val="0"/>
          <w:i w:val="0"/>
          <w:color w:val="222222"/>
          <w:sz w:val="22"/>
        </w:rPr>
        <w:t>所有模型按“先简单、后增强”的原则推进。每增加一个信息源，都必须通过对照实验确认它确实带来收益。</w:t>
      </w:r>
    </w:p>
    <w:p w14:paraId="5159ECCC">
      <w:pPr>
        <w:keepNext/>
        <w:spacing w:before="180" w:after="100"/>
      </w:pPr>
      <w:r>
        <w:rPr>
          <w:rFonts w:ascii="Noto Sans CJK SC" w:hAnsi="Noto Sans CJK SC" w:eastAsia="Noto Sans CJK SC"/>
          <w:b/>
          <w:color w:val="2A587E"/>
          <w:sz w:val="26"/>
        </w:rPr>
        <w:t>5.1 V0：单时相 SAR 洪水分割 baseline</w:t>
      </w:r>
    </w:p>
    <w:tbl>
      <w:tblPr>
        <w:tblStyle w:val="32"/>
        <w:tblW w:w="0" w:type="auto"/>
        <w:jc w:val="center"/>
        <w:tblLayout w:type="fixed"/>
        <w:tblCellMar>
          <w:top w:w="0" w:type="dxa"/>
          <w:left w:w="108" w:type="dxa"/>
          <w:bottom w:w="0" w:type="dxa"/>
          <w:right w:w="108" w:type="dxa"/>
        </w:tblCellMar>
      </w:tblPr>
      <w:tblGrid>
        <w:gridCol w:w="1325"/>
        <w:gridCol w:w="317"/>
        <w:gridCol w:w="1325"/>
        <w:gridCol w:w="317"/>
        <w:gridCol w:w="1325"/>
        <w:gridCol w:w="317"/>
        <w:gridCol w:w="1325"/>
        <w:gridCol w:w="317"/>
        <w:gridCol w:w="1325"/>
      </w:tblGrid>
      <w:tr w14:paraId="4D72EC5F">
        <w:trPr>
          <w:jc w:val="center"/>
        </w:trPr>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61367F50">
            <w:pPr>
              <w:spacing w:after="0"/>
              <w:jc w:val="center"/>
            </w:pPr>
            <w:r>
              <w:rPr>
                <w:rFonts w:ascii="Noto Sans CJK SC" w:hAnsi="Noto Sans CJK SC" w:eastAsia="Noto Sans CJK SC"/>
                <w:b/>
                <w:color w:val="1F4E79"/>
                <w:sz w:val="18"/>
              </w:rPr>
              <w:t>Event VV/VH</w:t>
            </w:r>
          </w:p>
        </w:tc>
        <w:tc>
          <w:tcPr>
            <w:tcW w:w="1110" w:type="dxa"/>
            <w:tcMar>
              <w:top w:w="100" w:type="dxa"/>
              <w:left w:w="40" w:type="dxa"/>
              <w:bottom w:w="100" w:type="dxa"/>
              <w:right w:w="40" w:type="dxa"/>
            </w:tcMar>
            <w:vAlign w:val="center"/>
          </w:tcPr>
          <w:p w14:paraId="2AD55385">
            <w:pPr>
              <w:spacing w:after="0"/>
              <w:jc w:val="center"/>
            </w:pPr>
            <w:r>
              <w:rPr>
                <w:rFonts w:ascii="Noto Sans CJK SC" w:hAnsi="Noto Sans CJK SC" w:eastAsia="Noto Sans CJK SC"/>
                <w:b/>
                <w:color w:val="5F5F5F"/>
                <w:sz w:val="26"/>
              </w:rPr>
              <w:t>→</w:t>
            </w:r>
          </w:p>
        </w:tc>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6B0917A0">
            <w:pPr>
              <w:spacing w:after="0"/>
              <w:jc w:val="center"/>
            </w:pPr>
            <w:r>
              <w:rPr>
                <w:rFonts w:ascii="Noto Sans CJK SC" w:hAnsi="Noto Sans CJK SC" w:eastAsia="Noto Sans CJK SC"/>
                <w:b/>
                <w:color w:val="1F4E79"/>
                <w:sz w:val="18"/>
              </w:rPr>
              <w:t>标准化</w:t>
            </w:r>
          </w:p>
        </w:tc>
        <w:tc>
          <w:tcPr>
            <w:tcW w:w="1110" w:type="dxa"/>
            <w:tcMar>
              <w:top w:w="100" w:type="dxa"/>
              <w:left w:w="40" w:type="dxa"/>
              <w:bottom w:w="100" w:type="dxa"/>
              <w:right w:w="40" w:type="dxa"/>
            </w:tcMar>
            <w:vAlign w:val="center"/>
          </w:tcPr>
          <w:p w14:paraId="477442E3">
            <w:pPr>
              <w:spacing w:after="0"/>
              <w:jc w:val="center"/>
            </w:pPr>
            <w:r>
              <w:rPr>
                <w:rFonts w:ascii="Noto Sans CJK SC" w:hAnsi="Noto Sans CJK SC" w:eastAsia="Noto Sans CJK SC"/>
                <w:b/>
                <w:color w:val="5F5F5F"/>
                <w:sz w:val="26"/>
              </w:rPr>
              <w:t>→</w:t>
            </w:r>
          </w:p>
        </w:tc>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1284FC78">
            <w:pPr>
              <w:spacing w:after="0"/>
              <w:jc w:val="center"/>
            </w:pPr>
            <w:r>
              <w:rPr>
                <w:rFonts w:ascii="Noto Sans CJK SC" w:hAnsi="Noto Sans CJK SC" w:eastAsia="Noto Sans CJK SC"/>
                <w:b/>
                <w:color w:val="1F4E79"/>
                <w:sz w:val="18"/>
              </w:rPr>
              <w:t>U-Net</w:t>
            </w:r>
          </w:p>
        </w:tc>
        <w:tc>
          <w:tcPr>
            <w:tcW w:w="1110" w:type="dxa"/>
            <w:tcMar>
              <w:top w:w="100" w:type="dxa"/>
              <w:left w:w="40" w:type="dxa"/>
              <w:bottom w:w="100" w:type="dxa"/>
              <w:right w:w="40" w:type="dxa"/>
            </w:tcMar>
            <w:vAlign w:val="center"/>
          </w:tcPr>
          <w:p w14:paraId="53504D75">
            <w:pPr>
              <w:spacing w:after="0"/>
              <w:jc w:val="center"/>
            </w:pPr>
            <w:r>
              <w:rPr>
                <w:rFonts w:ascii="Noto Sans CJK SC" w:hAnsi="Noto Sans CJK SC" w:eastAsia="Noto Sans CJK SC"/>
                <w:b/>
                <w:color w:val="5F5F5F"/>
                <w:sz w:val="26"/>
              </w:rPr>
              <w:t>→</w:t>
            </w:r>
          </w:p>
        </w:tc>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3EA8FBF3">
            <w:pPr>
              <w:spacing w:after="0"/>
              <w:jc w:val="center"/>
            </w:pPr>
            <w:r>
              <w:rPr>
                <w:rFonts w:ascii="Noto Sans CJK SC" w:hAnsi="Noto Sans CJK SC" w:eastAsia="Noto Sans CJK SC"/>
                <w:b/>
                <w:color w:val="1F4E79"/>
                <w:sz w:val="18"/>
              </w:rPr>
              <w:t>Flood Mask</w:t>
            </w:r>
          </w:p>
        </w:tc>
        <w:tc>
          <w:tcPr>
            <w:tcW w:w="1110" w:type="dxa"/>
            <w:tcMar>
              <w:top w:w="100" w:type="dxa"/>
              <w:left w:w="40" w:type="dxa"/>
              <w:bottom w:w="100" w:type="dxa"/>
              <w:right w:w="40" w:type="dxa"/>
            </w:tcMar>
            <w:vAlign w:val="center"/>
          </w:tcPr>
          <w:p w14:paraId="2B5474BF">
            <w:pPr>
              <w:spacing w:after="0"/>
              <w:jc w:val="center"/>
            </w:pPr>
            <w:r>
              <w:rPr>
                <w:rFonts w:ascii="Noto Sans CJK SC" w:hAnsi="Noto Sans CJK SC" w:eastAsia="Noto Sans CJK SC"/>
                <w:b/>
                <w:color w:val="5F5F5F"/>
                <w:sz w:val="26"/>
              </w:rPr>
              <w:t>→</w:t>
            </w:r>
          </w:p>
        </w:tc>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5C8754DE">
            <w:pPr>
              <w:spacing w:after="0"/>
              <w:jc w:val="center"/>
            </w:pPr>
            <w:r>
              <w:rPr>
                <w:rFonts w:ascii="Noto Sans CJK SC" w:hAnsi="Noto Sans CJK SC" w:eastAsia="Noto Sans CJK SC"/>
                <w:b/>
                <w:color w:val="1F4E79"/>
                <w:sz w:val="18"/>
              </w:rPr>
              <w:t>指标评估</w:t>
            </w:r>
          </w:p>
        </w:tc>
      </w:tr>
    </w:tbl>
    <w:p w14:paraId="04F33C64">
      <w:pPr>
        <w:spacing w:after="60"/>
      </w:pPr>
    </w:p>
    <w:p w14:paraId="22E0A1DD">
      <w:pPr>
        <w:pStyle w:val="16"/>
        <w:spacing w:after="60" w:line="288" w:lineRule="auto"/>
      </w:pPr>
      <w:r>
        <w:rPr>
          <w:rFonts w:ascii="Noto Sans CJK SC" w:hAnsi="Noto Sans CJK SC" w:eastAsia="Noto Sans CJK SC"/>
          <w:color w:val="222222"/>
          <w:sz w:val="22"/>
        </w:rPr>
        <w:t>输入：Event SAR 的 VV、VH 两通道。</w:t>
      </w:r>
    </w:p>
    <w:p w14:paraId="695EA8A8">
      <w:pPr>
        <w:pStyle w:val="16"/>
        <w:spacing w:after="60" w:line="288" w:lineRule="auto"/>
      </w:pPr>
      <w:r>
        <w:rPr>
          <w:rFonts w:ascii="Noto Sans CJK SC" w:hAnsi="Noto Sans CJK SC" w:eastAsia="Noto Sans CJK SC"/>
          <w:color w:val="222222"/>
          <w:sz w:val="22"/>
        </w:rPr>
        <w:t>模型：标准 U-Net，优先保证流程跑通，不追求复杂结构。</w:t>
      </w:r>
    </w:p>
    <w:p w14:paraId="4270A1C1">
      <w:pPr>
        <w:pStyle w:val="16"/>
        <w:spacing w:after="60" w:line="288" w:lineRule="auto"/>
      </w:pPr>
      <w:r>
        <w:rPr>
          <w:rFonts w:ascii="Noto Sans CJK SC" w:hAnsi="Noto Sans CJK SC" w:eastAsia="Noto Sans CJK SC"/>
          <w:color w:val="222222"/>
          <w:sz w:val="22"/>
        </w:rPr>
        <w:t>输出：逐像素二分类洪水 MASK。</w:t>
      </w:r>
    </w:p>
    <w:p w14:paraId="0E59A885">
      <w:pPr>
        <w:pStyle w:val="16"/>
        <w:spacing w:after="60" w:line="288" w:lineRule="auto"/>
      </w:pPr>
      <w:r>
        <w:rPr>
          <w:rFonts w:ascii="Noto Sans CJK SC" w:hAnsi="Noto Sans CJK SC" w:eastAsia="Noto Sans CJK SC"/>
          <w:color w:val="222222"/>
          <w:sz w:val="22"/>
        </w:rPr>
        <w:t>损失函数：BCE + Dice Loss（第一版即可）。</w:t>
      </w:r>
    </w:p>
    <w:p w14:paraId="51856D76">
      <w:pPr>
        <w:pStyle w:val="16"/>
        <w:spacing w:after="60" w:line="288" w:lineRule="auto"/>
      </w:pPr>
      <w:r>
        <w:rPr>
          <w:rFonts w:ascii="Noto Sans CJK SC" w:hAnsi="Noto Sans CJK SC" w:eastAsia="Noto Sans CJK SC"/>
          <w:color w:val="222222"/>
          <w:sz w:val="22"/>
        </w:rPr>
        <w:t>核心指标：IoU、Dice、Precision、Recall、F1；Accuracy 仅作辅助。</w:t>
      </w:r>
    </w:p>
    <w:p w14:paraId="5A1EFA8E">
      <w:pPr>
        <w:keepNext/>
        <w:spacing w:before="180" w:after="100"/>
      </w:pPr>
      <w:r>
        <w:rPr>
          <w:rFonts w:ascii="Noto Sans CJK SC" w:hAnsi="Noto Sans CJK SC" w:eastAsia="Noto Sans CJK SC"/>
          <w:b/>
          <w:color w:val="2A587E"/>
          <w:sz w:val="26"/>
        </w:rPr>
        <w:t>5.2 V1：加入 DEM 地形先验</w:t>
      </w:r>
    </w:p>
    <w:tbl>
      <w:tblPr>
        <w:tblStyle w:val="32"/>
        <w:tblW w:w="0" w:type="auto"/>
        <w:jc w:val="center"/>
        <w:tblLayout w:type="fixed"/>
        <w:tblCellMar>
          <w:top w:w="0" w:type="dxa"/>
          <w:left w:w="108" w:type="dxa"/>
          <w:bottom w:w="0" w:type="dxa"/>
          <w:right w:w="108" w:type="dxa"/>
        </w:tblCellMar>
      </w:tblPr>
      <w:tblGrid>
        <w:gridCol w:w="1325"/>
        <w:gridCol w:w="317"/>
        <w:gridCol w:w="1325"/>
        <w:gridCol w:w="317"/>
        <w:gridCol w:w="1325"/>
        <w:gridCol w:w="317"/>
        <w:gridCol w:w="1325"/>
        <w:gridCol w:w="317"/>
        <w:gridCol w:w="1325"/>
      </w:tblGrid>
      <w:tr w14:paraId="432C811C">
        <w:tblPrEx>
          <w:tblCellMar>
            <w:top w:w="0" w:type="dxa"/>
            <w:left w:w="108" w:type="dxa"/>
            <w:bottom w:w="0" w:type="dxa"/>
            <w:right w:w="108" w:type="dxa"/>
          </w:tblCellMar>
        </w:tblPrEx>
        <w:trPr>
          <w:jc w:val="center"/>
        </w:trPr>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652D5A80">
            <w:pPr>
              <w:spacing w:after="0"/>
              <w:jc w:val="center"/>
            </w:pPr>
            <w:r>
              <w:rPr>
                <w:rFonts w:ascii="Noto Sans CJK SC" w:hAnsi="Noto Sans CJK SC" w:eastAsia="Noto Sans CJK SC"/>
                <w:b/>
                <w:color w:val="1F4E79"/>
                <w:sz w:val="18"/>
              </w:rPr>
              <w:t>Event VV/VH</w:t>
            </w:r>
          </w:p>
        </w:tc>
        <w:tc>
          <w:tcPr>
            <w:tcW w:w="1110" w:type="dxa"/>
            <w:tcMar>
              <w:top w:w="100" w:type="dxa"/>
              <w:left w:w="40" w:type="dxa"/>
              <w:bottom w:w="100" w:type="dxa"/>
              <w:right w:w="40" w:type="dxa"/>
            </w:tcMar>
            <w:vAlign w:val="center"/>
          </w:tcPr>
          <w:p w14:paraId="033FD77C">
            <w:pPr>
              <w:spacing w:after="0"/>
              <w:jc w:val="center"/>
            </w:pPr>
            <w:r>
              <w:rPr>
                <w:rFonts w:ascii="Noto Sans CJK SC" w:hAnsi="Noto Sans CJK SC" w:eastAsia="Noto Sans CJK SC"/>
                <w:b/>
                <w:color w:val="5F5F5F"/>
                <w:sz w:val="26"/>
              </w:rPr>
              <w:t>→</w:t>
            </w:r>
          </w:p>
        </w:tc>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503D3E96">
            <w:pPr>
              <w:spacing w:after="0"/>
              <w:jc w:val="center"/>
            </w:pPr>
            <w:r>
              <w:rPr>
                <w:rFonts w:ascii="Noto Sans CJK SC" w:hAnsi="Noto Sans CJK SC" w:eastAsia="Noto Sans CJK SC"/>
                <w:b/>
                <w:color w:val="1F4E79"/>
                <w:sz w:val="18"/>
              </w:rPr>
              <w:t>DEM</w:t>
            </w:r>
          </w:p>
        </w:tc>
        <w:tc>
          <w:tcPr>
            <w:tcW w:w="1110" w:type="dxa"/>
            <w:tcMar>
              <w:top w:w="100" w:type="dxa"/>
              <w:left w:w="40" w:type="dxa"/>
              <w:bottom w:w="100" w:type="dxa"/>
              <w:right w:w="40" w:type="dxa"/>
            </w:tcMar>
            <w:vAlign w:val="center"/>
          </w:tcPr>
          <w:p w14:paraId="0B2E2298">
            <w:pPr>
              <w:spacing w:after="0"/>
              <w:jc w:val="center"/>
            </w:pPr>
            <w:r>
              <w:rPr>
                <w:rFonts w:ascii="Noto Sans CJK SC" w:hAnsi="Noto Sans CJK SC" w:eastAsia="Noto Sans CJK SC"/>
                <w:b/>
                <w:color w:val="5F5F5F"/>
                <w:sz w:val="26"/>
              </w:rPr>
              <w:t>→</w:t>
            </w:r>
          </w:p>
        </w:tc>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51627C98">
            <w:pPr>
              <w:spacing w:after="0"/>
              <w:jc w:val="center"/>
            </w:pPr>
            <w:r>
              <w:rPr>
                <w:rFonts w:ascii="Noto Sans CJK SC" w:hAnsi="Noto Sans CJK SC" w:eastAsia="Noto Sans CJK SC"/>
                <w:b/>
                <w:color w:val="1F4E79"/>
                <w:sz w:val="18"/>
              </w:rPr>
              <w:t>3通道融合</w:t>
            </w:r>
          </w:p>
        </w:tc>
        <w:tc>
          <w:tcPr>
            <w:tcW w:w="1110" w:type="dxa"/>
            <w:tcMar>
              <w:top w:w="100" w:type="dxa"/>
              <w:left w:w="40" w:type="dxa"/>
              <w:bottom w:w="100" w:type="dxa"/>
              <w:right w:w="40" w:type="dxa"/>
            </w:tcMar>
            <w:vAlign w:val="center"/>
          </w:tcPr>
          <w:p w14:paraId="06E2B762">
            <w:pPr>
              <w:spacing w:after="0"/>
              <w:jc w:val="center"/>
            </w:pPr>
            <w:r>
              <w:rPr>
                <w:rFonts w:ascii="Noto Sans CJK SC" w:hAnsi="Noto Sans CJK SC" w:eastAsia="Noto Sans CJK SC"/>
                <w:b/>
                <w:color w:val="5F5F5F"/>
                <w:sz w:val="26"/>
              </w:rPr>
              <w:t>→</w:t>
            </w:r>
          </w:p>
        </w:tc>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1DEE3F31">
            <w:pPr>
              <w:spacing w:after="0"/>
              <w:jc w:val="center"/>
            </w:pPr>
            <w:r>
              <w:rPr>
                <w:rFonts w:ascii="Noto Sans CJK SC" w:hAnsi="Noto Sans CJK SC" w:eastAsia="Noto Sans CJK SC"/>
                <w:b/>
                <w:color w:val="1F4E79"/>
                <w:sz w:val="18"/>
              </w:rPr>
              <w:t>U-Net</w:t>
            </w:r>
          </w:p>
        </w:tc>
        <w:tc>
          <w:tcPr>
            <w:tcW w:w="1110" w:type="dxa"/>
            <w:tcMar>
              <w:top w:w="100" w:type="dxa"/>
              <w:left w:w="40" w:type="dxa"/>
              <w:bottom w:w="100" w:type="dxa"/>
              <w:right w:w="40" w:type="dxa"/>
            </w:tcMar>
            <w:vAlign w:val="center"/>
          </w:tcPr>
          <w:p w14:paraId="694EAC4D">
            <w:pPr>
              <w:spacing w:after="0"/>
              <w:jc w:val="center"/>
            </w:pPr>
            <w:r>
              <w:rPr>
                <w:rFonts w:ascii="Noto Sans CJK SC" w:hAnsi="Noto Sans CJK SC" w:eastAsia="Noto Sans CJK SC"/>
                <w:b/>
                <w:color w:val="5F5F5F"/>
                <w:sz w:val="26"/>
              </w:rPr>
              <w:t>→</w:t>
            </w:r>
          </w:p>
        </w:tc>
        <w:tc>
          <w:tcPr>
            <w:tcW w:w="1110"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325D673E">
            <w:pPr>
              <w:spacing w:after="0"/>
              <w:jc w:val="center"/>
            </w:pPr>
            <w:r>
              <w:rPr>
                <w:rFonts w:ascii="Noto Sans CJK SC" w:hAnsi="Noto Sans CJK SC" w:eastAsia="Noto Sans CJK SC"/>
                <w:b/>
                <w:color w:val="1F4E79"/>
                <w:sz w:val="18"/>
              </w:rPr>
              <w:t>Flood Mask</w:t>
            </w:r>
          </w:p>
        </w:tc>
      </w:tr>
    </w:tbl>
    <w:p w14:paraId="4F172338">
      <w:pPr>
        <w:spacing w:after="60"/>
      </w:pPr>
    </w:p>
    <w:p w14:paraId="06DE40DE">
      <w:pPr>
        <w:spacing w:after="120" w:line="300" w:lineRule="auto"/>
        <w:ind w:firstLine="440"/>
      </w:pPr>
      <w:r>
        <w:rPr>
          <w:rFonts w:ascii="Noto Sans CJK SC" w:hAnsi="Noto Sans CJK SC" w:eastAsia="Noto Sans CJK SC"/>
          <w:b w:val="0"/>
          <w:i w:val="0"/>
          <w:color w:val="222222"/>
          <w:sz w:val="22"/>
        </w:rPr>
        <w:t>目标不是证明“DEM 一定提高准确率”，而是通过消融实验检验地形先验是否在不同地貌条件下提供稳定增益。若效果不稳定，需要进一步检查 DEM 归一化、空间对齐、地形尺度和模型融合方式。</w:t>
      </w:r>
    </w:p>
    <w:p w14:paraId="2FCE79E1">
      <w:pPr>
        <w:keepNext/>
        <w:spacing w:before="180" w:after="100"/>
      </w:pPr>
      <w:r>
        <w:rPr>
          <w:rFonts w:ascii="Noto Sans CJK SC" w:hAnsi="Noto Sans CJK SC" w:eastAsia="Noto Sans CJK SC"/>
          <w:b/>
          <w:color w:val="2A587E"/>
          <w:sz w:val="26"/>
        </w:rPr>
        <w:t>5.3 V2：加入灾前 SAR</w:t>
      </w:r>
    </w:p>
    <w:tbl>
      <w:tblPr>
        <w:tblStyle w:val="32"/>
        <w:tblW w:w="0" w:type="auto"/>
        <w:jc w:val="center"/>
        <w:tblLayout w:type="fixed"/>
        <w:tblCellMar>
          <w:top w:w="0" w:type="dxa"/>
          <w:left w:w="108" w:type="dxa"/>
          <w:bottom w:w="0" w:type="dxa"/>
          <w:right w:w="108" w:type="dxa"/>
        </w:tblCellMar>
      </w:tblPr>
      <w:tblGrid>
        <w:gridCol w:w="1325"/>
        <w:gridCol w:w="317"/>
        <w:gridCol w:w="1325"/>
        <w:gridCol w:w="317"/>
        <w:gridCol w:w="1325"/>
        <w:gridCol w:w="317"/>
        <w:gridCol w:w="1325"/>
        <w:gridCol w:w="317"/>
        <w:gridCol w:w="1325"/>
        <w:gridCol w:w="317"/>
        <w:gridCol w:w="1325"/>
      </w:tblGrid>
      <w:tr w14:paraId="775F367E">
        <w:tblPrEx>
          <w:tblCellMar>
            <w:top w:w="0" w:type="dxa"/>
            <w:left w:w="108" w:type="dxa"/>
            <w:bottom w:w="0" w:type="dxa"/>
            <w:right w:w="108" w:type="dxa"/>
          </w:tblCellMar>
        </w:tblPrEx>
        <w:trPr>
          <w:jc w:val="center"/>
        </w:trPr>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443FD4D2">
            <w:pPr>
              <w:spacing w:after="0"/>
              <w:jc w:val="center"/>
            </w:pPr>
            <w:r>
              <w:rPr>
                <w:rFonts w:ascii="Noto Sans CJK SC" w:hAnsi="Noto Sans CJK SC" w:eastAsia="Noto Sans CJK SC"/>
                <w:b/>
                <w:color w:val="1F4E79"/>
                <w:sz w:val="18"/>
              </w:rPr>
              <w:t>Pre VV/VH</w:t>
            </w:r>
          </w:p>
        </w:tc>
        <w:tc>
          <w:tcPr>
            <w:tcW w:w="909" w:type="dxa"/>
            <w:tcMar>
              <w:top w:w="100" w:type="dxa"/>
              <w:left w:w="40" w:type="dxa"/>
              <w:bottom w:w="100" w:type="dxa"/>
              <w:right w:w="40" w:type="dxa"/>
            </w:tcMar>
            <w:vAlign w:val="center"/>
          </w:tcPr>
          <w:p w14:paraId="0BF7ADB6">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59F060B5">
            <w:pPr>
              <w:spacing w:after="0"/>
              <w:jc w:val="center"/>
            </w:pPr>
            <w:r>
              <w:rPr>
                <w:rFonts w:ascii="Noto Sans CJK SC" w:hAnsi="Noto Sans CJK SC" w:eastAsia="Noto Sans CJK SC"/>
                <w:b/>
                <w:color w:val="1F4E79"/>
                <w:sz w:val="18"/>
              </w:rPr>
              <w:t>Event VV/VH</w:t>
            </w:r>
          </w:p>
        </w:tc>
        <w:tc>
          <w:tcPr>
            <w:tcW w:w="909" w:type="dxa"/>
            <w:tcMar>
              <w:top w:w="100" w:type="dxa"/>
              <w:left w:w="40" w:type="dxa"/>
              <w:bottom w:w="100" w:type="dxa"/>
              <w:right w:w="40" w:type="dxa"/>
            </w:tcMar>
            <w:vAlign w:val="center"/>
          </w:tcPr>
          <w:p w14:paraId="41350343">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2A3DFE27">
            <w:pPr>
              <w:spacing w:after="0"/>
              <w:jc w:val="center"/>
            </w:pPr>
            <w:r>
              <w:rPr>
                <w:rFonts w:ascii="Noto Sans CJK SC" w:hAnsi="Noto Sans CJK SC" w:eastAsia="Noto Sans CJK SC"/>
                <w:b/>
                <w:color w:val="1F4E79"/>
                <w:sz w:val="18"/>
              </w:rPr>
              <w:t>DEM</w:t>
            </w:r>
          </w:p>
        </w:tc>
        <w:tc>
          <w:tcPr>
            <w:tcW w:w="909" w:type="dxa"/>
            <w:tcMar>
              <w:top w:w="100" w:type="dxa"/>
              <w:left w:w="40" w:type="dxa"/>
              <w:bottom w:w="100" w:type="dxa"/>
              <w:right w:w="40" w:type="dxa"/>
            </w:tcMar>
            <w:vAlign w:val="center"/>
          </w:tcPr>
          <w:p w14:paraId="1418FF4C">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194A17AF">
            <w:pPr>
              <w:spacing w:after="0"/>
              <w:jc w:val="center"/>
            </w:pPr>
            <w:r>
              <w:rPr>
                <w:rFonts w:ascii="Noto Sans CJK SC" w:hAnsi="Noto Sans CJK SC" w:eastAsia="Noto Sans CJK SC"/>
                <w:b/>
                <w:color w:val="1F4E79"/>
                <w:sz w:val="18"/>
              </w:rPr>
              <w:t>时相融合</w:t>
            </w:r>
          </w:p>
        </w:tc>
        <w:tc>
          <w:tcPr>
            <w:tcW w:w="909" w:type="dxa"/>
            <w:tcMar>
              <w:top w:w="100" w:type="dxa"/>
              <w:left w:w="40" w:type="dxa"/>
              <w:bottom w:w="100" w:type="dxa"/>
              <w:right w:w="40" w:type="dxa"/>
            </w:tcMar>
            <w:vAlign w:val="center"/>
          </w:tcPr>
          <w:p w14:paraId="37097C7D">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64B8505F">
            <w:pPr>
              <w:spacing w:after="0"/>
              <w:jc w:val="center"/>
            </w:pPr>
            <w:r>
              <w:rPr>
                <w:rFonts w:ascii="Noto Sans CJK SC" w:hAnsi="Noto Sans CJK SC" w:eastAsia="Noto Sans CJK SC"/>
                <w:b/>
                <w:color w:val="1F4E79"/>
                <w:sz w:val="18"/>
              </w:rPr>
              <w:t>U-Net/双分支</w:t>
            </w:r>
          </w:p>
        </w:tc>
        <w:tc>
          <w:tcPr>
            <w:tcW w:w="909" w:type="dxa"/>
            <w:tcMar>
              <w:top w:w="100" w:type="dxa"/>
              <w:left w:w="40" w:type="dxa"/>
              <w:bottom w:w="100" w:type="dxa"/>
              <w:right w:w="40" w:type="dxa"/>
            </w:tcMar>
            <w:vAlign w:val="center"/>
          </w:tcPr>
          <w:p w14:paraId="6287780E">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41E1D31E">
            <w:pPr>
              <w:spacing w:after="0"/>
              <w:jc w:val="center"/>
            </w:pPr>
            <w:r>
              <w:rPr>
                <w:rFonts w:ascii="Noto Sans CJK SC" w:hAnsi="Noto Sans CJK SC" w:eastAsia="Noto Sans CJK SC"/>
                <w:b/>
                <w:color w:val="1F4E79"/>
                <w:sz w:val="18"/>
              </w:rPr>
              <w:t>Flood Mask</w:t>
            </w:r>
          </w:p>
        </w:tc>
      </w:tr>
    </w:tbl>
    <w:p w14:paraId="76FB67EA">
      <w:pPr>
        <w:spacing w:after="60"/>
      </w:pPr>
    </w:p>
    <w:p w14:paraId="566287D7">
      <w:pPr>
        <w:spacing w:after="120" w:line="300" w:lineRule="auto"/>
        <w:ind w:firstLine="440"/>
      </w:pPr>
      <w:r>
        <w:rPr>
          <w:rFonts w:ascii="Noto Sans CJK SC" w:hAnsi="Noto Sans CJK SC" w:eastAsia="Noto Sans CJK SC"/>
          <w:b w:val="0"/>
          <w:i w:val="0"/>
          <w:color w:val="222222"/>
          <w:sz w:val="22"/>
        </w:rPr>
        <w:t>第一版最简单的方法是把 pre-event VV/VH、event VV/VH 与 DEM 直接按通道拼接成 5 通道输入。只有 5 通道 baseline 明确有效后，再升级为 Siamese 双分支编码器或显式差异特征模块。</w:t>
      </w:r>
    </w:p>
    <w:p w14:paraId="0FEA965C">
      <w:pPr>
        <w:keepNext/>
        <w:spacing w:before="180" w:after="100"/>
      </w:pPr>
      <w:r>
        <w:rPr>
          <w:rFonts w:ascii="Noto Sans CJK SC" w:hAnsi="Noto Sans CJK SC" w:eastAsia="Noto Sans CJK SC"/>
          <w:b/>
          <w:color w:val="2A587E"/>
          <w:sz w:val="26"/>
        </w:rPr>
        <w:t>5.4 V3：仅在标签成立后进入“预测”</w:t>
      </w:r>
    </w:p>
    <w:tbl>
      <w:tblPr>
        <w:tblStyle w:val="32"/>
        <w:tblW w:w="0" w:type="auto"/>
        <w:jc w:val="center"/>
        <w:tblLayout w:type="fixed"/>
        <w:tblCellMar>
          <w:top w:w="0" w:type="dxa"/>
          <w:left w:w="108" w:type="dxa"/>
          <w:bottom w:w="0" w:type="dxa"/>
          <w:right w:w="108" w:type="dxa"/>
        </w:tblCellMar>
      </w:tblPr>
      <w:tblGrid>
        <w:gridCol w:w="1325"/>
        <w:gridCol w:w="317"/>
        <w:gridCol w:w="1325"/>
        <w:gridCol w:w="317"/>
        <w:gridCol w:w="1325"/>
        <w:gridCol w:w="317"/>
        <w:gridCol w:w="1325"/>
        <w:gridCol w:w="317"/>
        <w:gridCol w:w="1325"/>
        <w:gridCol w:w="317"/>
        <w:gridCol w:w="1325"/>
      </w:tblGrid>
      <w:tr w14:paraId="2D344EA4">
        <w:tblPrEx>
          <w:tblCellMar>
            <w:top w:w="0" w:type="dxa"/>
            <w:left w:w="108" w:type="dxa"/>
            <w:bottom w:w="0" w:type="dxa"/>
            <w:right w:w="108" w:type="dxa"/>
          </w:tblCellMar>
        </w:tblPrEx>
        <w:trPr>
          <w:jc w:val="center"/>
        </w:trPr>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454EB8CD">
            <w:pPr>
              <w:spacing w:after="0"/>
              <w:jc w:val="center"/>
            </w:pPr>
            <w:r>
              <w:rPr>
                <w:rFonts w:ascii="Noto Sans CJK SC" w:hAnsi="Noto Sans CJK SC" w:eastAsia="Noto Sans CJK SC"/>
                <w:b/>
                <w:color w:val="1F4E79"/>
                <w:sz w:val="18"/>
              </w:rPr>
              <w:t>灾前 SAR</w:t>
            </w:r>
          </w:p>
        </w:tc>
        <w:tc>
          <w:tcPr>
            <w:tcW w:w="909" w:type="dxa"/>
            <w:tcMar>
              <w:top w:w="100" w:type="dxa"/>
              <w:left w:w="40" w:type="dxa"/>
              <w:bottom w:w="100" w:type="dxa"/>
              <w:right w:w="40" w:type="dxa"/>
            </w:tcMar>
            <w:vAlign w:val="center"/>
          </w:tcPr>
          <w:p w14:paraId="041CDAC8">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26DAA770">
            <w:pPr>
              <w:spacing w:after="0"/>
              <w:jc w:val="center"/>
            </w:pPr>
            <w:r>
              <w:rPr>
                <w:rFonts w:ascii="Noto Sans CJK SC" w:hAnsi="Noto Sans CJK SC" w:eastAsia="Noto Sans CJK SC"/>
                <w:b/>
                <w:color w:val="1F4E79"/>
                <w:sz w:val="18"/>
              </w:rPr>
              <w:t>早期 SAR</w:t>
            </w:r>
          </w:p>
        </w:tc>
        <w:tc>
          <w:tcPr>
            <w:tcW w:w="909" w:type="dxa"/>
            <w:tcMar>
              <w:top w:w="100" w:type="dxa"/>
              <w:left w:w="40" w:type="dxa"/>
              <w:bottom w:w="100" w:type="dxa"/>
              <w:right w:w="40" w:type="dxa"/>
            </w:tcMar>
            <w:vAlign w:val="center"/>
          </w:tcPr>
          <w:p w14:paraId="7938A3BF">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73316AC8">
            <w:pPr>
              <w:spacing w:after="0"/>
              <w:jc w:val="center"/>
            </w:pPr>
            <w:r>
              <w:rPr>
                <w:rFonts w:ascii="Noto Sans CJK SC" w:hAnsi="Noto Sans CJK SC" w:eastAsia="Noto Sans CJK SC"/>
                <w:b/>
                <w:color w:val="1F4E79"/>
                <w:sz w:val="18"/>
              </w:rPr>
              <w:t>DEM</w:t>
            </w:r>
          </w:p>
        </w:tc>
        <w:tc>
          <w:tcPr>
            <w:tcW w:w="909" w:type="dxa"/>
            <w:tcMar>
              <w:top w:w="100" w:type="dxa"/>
              <w:left w:w="40" w:type="dxa"/>
              <w:bottom w:w="100" w:type="dxa"/>
              <w:right w:w="40" w:type="dxa"/>
            </w:tcMar>
            <w:vAlign w:val="center"/>
          </w:tcPr>
          <w:p w14:paraId="57FFC010">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5496092E">
            <w:pPr>
              <w:spacing w:after="0"/>
              <w:jc w:val="center"/>
            </w:pPr>
            <w:r>
              <w:rPr>
                <w:rFonts w:ascii="Noto Sans CJK SC" w:hAnsi="Noto Sans CJK SC" w:eastAsia="Noto Sans CJK SC"/>
                <w:b/>
                <w:color w:val="1F4E79"/>
                <w:sz w:val="18"/>
              </w:rPr>
              <w:t>时空特征融合</w:t>
            </w:r>
          </w:p>
        </w:tc>
        <w:tc>
          <w:tcPr>
            <w:tcW w:w="909" w:type="dxa"/>
            <w:tcMar>
              <w:top w:w="100" w:type="dxa"/>
              <w:left w:w="40" w:type="dxa"/>
              <w:bottom w:w="100" w:type="dxa"/>
              <w:right w:w="40" w:type="dxa"/>
            </w:tcMar>
            <w:vAlign w:val="center"/>
          </w:tcPr>
          <w:p w14:paraId="5E365D97">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685202CC">
            <w:pPr>
              <w:spacing w:after="0"/>
              <w:jc w:val="center"/>
            </w:pPr>
            <w:r>
              <w:rPr>
                <w:rFonts w:ascii="Noto Sans CJK SC" w:hAnsi="Noto Sans CJK SC" w:eastAsia="Noto Sans CJK SC"/>
                <w:b/>
                <w:color w:val="1F4E79"/>
                <w:sz w:val="18"/>
              </w:rPr>
              <w:t>后续 Flood Mask</w:t>
            </w:r>
          </w:p>
        </w:tc>
        <w:tc>
          <w:tcPr>
            <w:tcW w:w="909" w:type="dxa"/>
            <w:tcMar>
              <w:top w:w="100" w:type="dxa"/>
              <w:left w:w="40" w:type="dxa"/>
              <w:bottom w:w="100" w:type="dxa"/>
              <w:right w:w="40" w:type="dxa"/>
            </w:tcMar>
            <w:vAlign w:val="center"/>
          </w:tcPr>
          <w:p w14:paraId="7FB20E08">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01A579E1">
            <w:pPr>
              <w:spacing w:after="0"/>
              <w:jc w:val="center"/>
            </w:pPr>
            <w:r>
              <w:rPr>
                <w:rFonts w:ascii="Noto Sans CJK SC" w:hAnsi="Noto Sans CJK SC" w:eastAsia="Noto Sans CJK SC"/>
                <w:b/>
                <w:color w:val="1F4E79"/>
                <w:sz w:val="18"/>
              </w:rPr>
              <w:t>三级风险</w:t>
            </w:r>
          </w:p>
        </w:tc>
      </w:tr>
    </w:tbl>
    <w:p w14:paraId="0AE26375">
      <w:pPr>
        <w:spacing w:after="60"/>
      </w:pPr>
    </w:p>
    <w:p w14:paraId="456C4537">
      <w:pPr>
        <w:spacing w:after="120" w:line="300" w:lineRule="auto"/>
        <w:ind w:firstLine="440"/>
      </w:pPr>
      <w:r>
        <w:rPr>
          <w:rFonts w:ascii="Noto Sans CJK SC" w:hAnsi="Noto Sans CJK SC" w:eastAsia="Noto Sans CJK SC"/>
          <w:b w:val="0"/>
          <w:i w:val="0"/>
          <w:color w:val="222222"/>
          <w:sz w:val="22"/>
        </w:rPr>
        <w:t>V3 的输入不应包含任何目标时刻之后的信息。若 post-event 或其他后期数据被用作输入，就不能再称为未来预测。V3 需要明确预测时间窗或明确“后续阶段”的数据定义。</w:t>
      </w:r>
    </w:p>
    <w:p w14:paraId="19853AD8">
      <w:pPr>
        <w:keepNext/>
        <w:spacing w:before="240" w:after="140"/>
      </w:pPr>
      <w:r>
        <w:rPr>
          <w:rFonts w:ascii="Noto Sans CJK SC" w:hAnsi="Noto Sans CJK SC" w:eastAsia="Noto Sans CJK SC"/>
          <w:b/>
          <w:color w:val="1C4874"/>
          <w:sz w:val="32"/>
        </w:rPr>
        <w:t>六、严重度三级分级方案</w:t>
      </w:r>
    </w:p>
    <w:p w14:paraId="3F6D2D6E">
      <w:pPr>
        <w:spacing w:after="120" w:line="300" w:lineRule="auto"/>
        <w:ind w:firstLine="440"/>
      </w:pPr>
      <w:r>
        <w:rPr>
          <w:rFonts w:ascii="Noto Sans CJK SC" w:hAnsi="Noto Sans CJK SC" w:eastAsia="Noto Sans CJK SC"/>
          <w:b w:val="0"/>
          <w:i w:val="0"/>
          <w:color w:val="222222"/>
          <w:sz w:val="22"/>
        </w:rPr>
        <w:t>三级严重度不应由团队主观标注。建议由目标洪水 MASK 自动生成事件级标签，并在训练集上确定阈值。</w:t>
      </w:r>
    </w:p>
    <w:p w14:paraId="349532E5">
      <w:pPr>
        <w:keepNext/>
        <w:spacing w:before="180" w:after="100"/>
      </w:pPr>
      <w:r>
        <w:rPr>
          <w:rFonts w:ascii="Noto Sans CJK SC" w:hAnsi="Noto Sans CJK SC" w:eastAsia="Noto Sans CJK SC"/>
          <w:b/>
          <w:color w:val="2A587E"/>
          <w:sz w:val="26"/>
        </w:rPr>
        <w:t>6.1 推荐计算逻辑</w:t>
      </w:r>
    </w:p>
    <w:tbl>
      <w:tblPr>
        <w:tblStyle w:val="32"/>
        <w:tblW w:w="0" w:type="auto"/>
        <w:jc w:val="center"/>
        <w:tblLayout w:type="fixed"/>
        <w:tblCellMar>
          <w:top w:w="0" w:type="dxa"/>
          <w:left w:w="108" w:type="dxa"/>
          <w:bottom w:w="0" w:type="dxa"/>
          <w:right w:w="108" w:type="dxa"/>
        </w:tblCellMar>
      </w:tblPr>
      <w:tblGrid>
        <w:gridCol w:w="1325"/>
        <w:gridCol w:w="317"/>
        <w:gridCol w:w="1325"/>
        <w:gridCol w:w="317"/>
        <w:gridCol w:w="1325"/>
        <w:gridCol w:w="317"/>
        <w:gridCol w:w="1325"/>
        <w:gridCol w:w="317"/>
        <w:gridCol w:w="1325"/>
        <w:gridCol w:w="317"/>
        <w:gridCol w:w="1325"/>
      </w:tblGrid>
      <w:tr w14:paraId="2E312F0D">
        <w:tblPrEx>
          <w:tblCellMar>
            <w:top w:w="0" w:type="dxa"/>
            <w:left w:w="108" w:type="dxa"/>
            <w:bottom w:w="0" w:type="dxa"/>
            <w:right w:w="108" w:type="dxa"/>
          </w:tblCellMar>
        </w:tblPrEx>
        <w:trPr>
          <w:jc w:val="center"/>
        </w:trPr>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356F6BE8">
            <w:pPr>
              <w:spacing w:after="0"/>
              <w:jc w:val="center"/>
            </w:pPr>
            <w:r>
              <w:rPr>
                <w:rFonts w:ascii="Noto Sans CJK SC" w:hAnsi="Noto Sans CJK SC" w:eastAsia="Noto Sans CJK SC"/>
                <w:b/>
                <w:color w:val="1F4E79"/>
                <w:sz w:val="18"/>
              </w:rPr>
              <w:t>模型预测 MASK</w:t>
            </w:r>
          </w:p>
        </w:tc>
        <w:tc>
          <w:tcPr>
            <w:tcW w:w="909" w:type="dxa"/>
            <w:tcMar>
              <w:top w:w="100" w:type="dxa"/>
              <w:left w:w="40" w:type="dxa"/>
              <w:bottom w:w="100" w:type="dxa"/>
              <w:right w:w="40" w:type="dxa"/>
            </w:tcMar>
            <w:vAlign w:val="center"/>
          </w:tcPr>
          <w:p w14:paraId="2114E2C6">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27BAFBF5">
            <w:pPr>
              <w:spacing w:after="0"/>
              <w:jc w:val="center"/>
            </w:pPr>
            <w:r>
              <w:rPr>
                <w:rFonts w:ascii="Noto Sans CJK SC" w:hAnsi="Noto Sans CJK SC" w:eastAsia="Noto Sans CJK SC"/>
                <w:b/>
                <w:color w:val="1F4E79"/>
                <w:sz w:val="18"/>
              </w:rPr>
              <w:t>图块汇总</w:t>
            </w:r>
          </w:p>
        </w:tc>
        <w:tc>
          <w:tcPr>
            <w:tcW w:w="909" w:type="dxa"/>
            <w:tcMar>
              <w:top w:w="100" w:type="dxa"/>
              <w:left w:w="40" w:type="dxa"/>
              <w:bottom w:w="100" w:type="dxa"/>
              <w:right w:w="40" w:type="dxa"/>
            </w:tcMar>
            <w:vAlign w:val="center"/>
          </w:tcPr>
          <w:p w14:paraId="6EB8BB45">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4128B260">
            <w:pPr>
              <w:spacing w:after="0"/>
              <w:jc w:val="center"/>
            </w:pPr>
            <w:r>
              <w:rPr>
                <w:rFonts w:ascii="Noto Sans CJK SC" w:hAnsi="Noto Sans CJK SC" w:eastAsia="Noto Sans CJK SC"/>
                <w:b/>
                <w:color w:val="1F4E79"/>
                <w:sz w:val="18"/>
              </w:rPr>
              <w:t>计算淹没面积</w:t>
            </w:r>
          </w:p>
        </w:tc>
        <w:tc>
          <w:tcPr>
            <w:tcW w:w="909" w:type="dxa"/>
            <w:tcMar>
              <w:top w:w="100" w:type="dxa"/>
              <w:left w:w="40" w:type="dxa"/>
              <w:bottom w:w="100" w:type="dxa"/>
              <w:right w:w="40" w:type="dxa"/>
            </w:tcMar>
            <w:vAlign w:val="center"/>
          </w:tcPr>
          <w:p w14:paraId="751C1CD9">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0BA3BBB2">
            <w:pPr>
              <w:spacing w:after="0"/>
              <w:jc w:val="center"/>
            </w:pPr>
            <w:r>
              <w:rPr>
                <w:rFonts w:ascii="Noto Sans CJK SC" w:hAnsi="Noto Sans CJK SC" w:eastAsia="Noto Sans CJK SC"/>
                <w:b/>
                <w:color w:val="1F4E79"/>
                <w:sz w:val="18"/>
              </w:rPr>
              <w:t>计算影响比例</w:t>
            </w:r>
          </w:p>
        </w:tc>
        <w:tc>
          <w:tcPr>
            <w:tcW w:w="909" w:type="dxa"/>
            <w:tcMar>
              <w:top w:w="100" w:type="dxa"/>
              <w:left w:w="40" w:type="dxa"/>
              <w:bottom w:w="100" w:type="dxa"/>
              <w:right w:w="40" w:type="dxa"/>
            </w:tcMar>
            <w:vAlign w:val="center"/>
          </w:tcPr>
          <w:p w14:paraId="4E90698E">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53A3C2DA">
            <w:pPr>
              <w:spacing w:after="0"/>
              <w:jc w:val="center"/>
            </w:pPr>
            <w:r>
              <w:rPr>
                <w:rFonts w:ascii="Noto Sans CJK SC" w:hAnsi="Noto Sans CJK SC" w:eastAsia="Noto Sans CJK SC"/>
                <w:b/>
                <w:color w:val="1F4E79"/>
                <w:sz w:val="18"/>
              </w:rPr>
              <w:t>分位数阈值</w:t>
            </w:r>
          </w:p>
        </w:tc>
        <w:tc>
          <w:tcPr>
            <w:tcW w:w="909" w:type="dxa"/>
            <w:tcMar>
              <w:top w:w="100" w:type="dxa"/>
              <w:left w:w="40" w:type="dxa"/>
              <w:bottom w:w="100" w:type="dxa"/>
              <w:right w:w="40" w:type="dxa"/>
            </w:tcMar>
            <w:vAlign w:val="center"/>
          </w:tcPr>
          <w:p w14:paraId="72B444C4">
            <w:pPr>
              <w:spacing w:after="0"/>
              <w:jc w:val="center"/>
            </w:pPr>
            <w:r>
              <w:rPr>
                <w:rFonts w:ascii="Noto Sans CJK SC" w:hAnsi="Noto Sans CJK SC" w:eastAsia="Noto Sans CJK SC"/>
                <w:b/>
                <w:color w:val="5F5F5F"/>
                <w:sz w:val="26"/>
              </w:rPr>
              <w:t>→</w:t>
            </w:r>
          </w:p>
        </w:tc>
        <w:tc>
          <w:tcPr>
            <w:tcW w:w="909" w:type="dxa"/>
            <w:tcBorders>
              <w:top w:val="single" w:color="7EA6C8" w:sz="4" w:space="0"/>
              <w:left w:val="single" w:color="7EA6C8" w:sz="4" w:space="0"/>
              <w:bottom w:val="single" w:color="7EA6C8" w:sz="4" w:space="0"/>
              <w:right w:val="single" w:color="7EA6C8" w:sz="4" w:space="0"/>
            </w:tcBorders>
            <w:shd w:val="clear" w:color="auto" w:fill="EAF2F8"/>
            <w:tcMar>
              <w:top w:w="100" w:type="dxa"/>
              <w:left w:w="40" w:type="dxa"/>
              <w:bottom w:w="100" w:type="dxa"/>
              <w:right w:w="40" w:type="dxa"/>
            </w:tcMar>
            <w:vAlign w:val="center"/>
          </w:tcPr>
          <w:p w14:paraId="06E3F946">
            <w:pPr>
              <w:spacing w:after="0"/>
              <w:jc w:val="center"/>
            </w:pPr>
            <w:r>
              <w:rPr>
                <w:rFonts w:ascii="Noto Sans CJK SC" w:hAnsi="Noto Sans CJK SC" w:eastAsia="Noto Sans CJK SC"/>
                <w:b/>
                <w:color w:val="1F4E79"/>
                <w:sz w:val="18"/>
              </w:rPr>
              <w:t>一般/严重/非常严重</w:t>
            </w:r>
          </w:p>
        </w:tc>
      </w:tr>
    </w:tbl>
    <w:p w14:paraId="52D5113E">
      <w:pPr>
        <w:spacing w:after="60"/>
      </w:pPr>
    </w:p>
    <w:p w14:paraId="2716554E">
      <w:pPr>
        <w:spacing w:after="120" w:line="300" w:lineRule="auto"/>
        <w:ind w:firstLine="440"/>
      </w:pPr>
      <w:r>
        <w:rPr>
          <w:rFonts w:ascii="Noto Sans CJK SC" w:hAnsi="Noto Sans CJK SC" w:eastAsia="Noto Sans CJK SC"/>
          <w:b w:val="0"/>
          <w:i w:val="0"/>
          <w:color w:val="222222"/>
          <w:sz w:val="22"/>
        </w:rPr>
        <w:t>建议使用“洪水影响比例 = 新增淹没有效面积 ÷ 研究区域有效陆地面积”，并在训练集事件级分布上按分位数或其他稳健方法制定三级阈值。验证集和测试集必须固定使用训练集得到的阈值，不能重新计算，以避免数据泄漏。</w:t>
      </w:r>
    </w:p>
    <w:tbl>
      <w:tblPr>
        <w:tblStyle w:val="32"/>
        <w:tblW w:w="0" w:type="auto"/>
        <w:jc w:val="center"/>
        <w:tblLayout w:type="fixed"/>
        <w:tblCellMar>
          <w:top w:w="0" w:type="dxa"/>
          <w:left w:w="108" w:type="dxa"/>
          <w:bottom w:w="0" w:type="dxa"/>
          <w:right w:w="108" w:type="dxa"/>
        </w:tblCellMar>
      </w:tblPr>
      <w:tblGrid>
        <w:gridCol w:w="9288"/>
      </w:tblGrid>
      <w:tr w14:paraId="03FE980D">
        <w:tblPrEx>
          <w:tblCellMar>
            <w:top w:w="0" w:type="dxa"/>
            <w:left w:w="108" w:type="dxa"/>
            <w:bottom w:w="0" w:type="dxa"/>
            <w:right w:w="108" w:type="dxa"/>
          </w:tblCellMar>
        </w:tblPrEx>
        <w:trPr>
          <w:jc w:val="center"/>
        </w:trPr>
        <w:tc>
          <w:tcPr>
            <w:tcW w:w="9288" w:type="dxa"/>
            <w:tcBorders>
              <w:top w:val="single" w:color="843C0C" w:sz="6" w:space="0"/>
              <w:left w:val="single" w:color="843C0C" w:sz="6" w:space="0"/>
              <w:bottom w:val="single" w:color="843C0C" w:sz="6" w:space="0"/>
              <w:right w:val="single" w:color="843C0C" w:sz="6" w:space="0"/>
            </w:tcBorders>
            <w:shd w:val="clear" w:color="auto" w:fill="FCE4D6"/>
            <w:tcMar>
              <w:top w:w="140" w:type="dxa"/>
              <w:left w:w="160" w:type="dxa"/>
              <w:bottom w:w="140" w:type="dxa"/>
              <w:right w:w="160" w:type="dxa"/>
            </w:tcMar>
          </w:tcPr>
          <w:p w14:paraId="318DF468">
            <w:pPr>
              <w:spacing w:after="60"/>
            </w:pPr>
            <w:r>
              <w:rPr>
                <w:rFonts w:ascii="Noto Sans CJK SC" w:hAnsi="Noto Sans CJK SC" w:eastAsia="Noto Sans CJK SC"/>
                <w:b/>
                <w:color w:val="843C0C"/>
                <w:sz w:val="23"/>
              </w:rPr>
              <w:t>避免一个常见错误</w:t>
            </w:r>
          </w:p>
          <w:p w14:paraId="736FB9AD">
            <w:pPr>
              <w:spacing w:after="0" w:line="288" w:lineRule="auto"/>
            </w:pPr>
            <w:r>
              <w:rPr>
                <w:rFonts w:ascii="Noto Sans CJK SC" w:hAnsi="Noto Sans CJK SC" w:eastAsia="Noto Sans CJK SC"/>
                <w:color w:val="2D2D2D"/>
                <w:sz w:val="21"/>
              </w:rPr>
              <w:t>不要按单个 256×256 或其他尺寸的小图块独立定义“严重程度”。严重度应尽量在同一洪水事件尺度上聚合，否则一个局部严重小图块会被错误解释成整场灾害非常严重。</w:t>
            </w:r>
          </w:p>
        </w:tc>
      </w:tr>
    </w:tbl>
    <w:p w14:paraId="48F82A92">
      <w:pPr>
        <w:spacing w:after="40"/>
      </w:pPr>
    </w:p>
    <w:p w14:paraId="6AA46A57">
      <w:pPr>
        <w:keepNext/>
        <w:spacing w:before="240" w:after="140"/>
      </w:pPr>
      <w:r>
        <w:rPr>
          <w:rFonts w:ascii="Noto Sans CJK SC" w:hAnsi="Noto Sans CJK SC" w:eastAsia="Noto Sans CJK SC"/>
          <w:b/>
          <w:color w:val="1C4874"/>
          <w:sz w:val="32"/>
        </w:rPr>
        <w:t>七、实验设计与验收指标</w:t>
      </w:r>
    </w:p>
    <w:tbl>
      <w:tblPr>
        <w:tblStyle w:val="32"/>
        <w:tblW w:w="0" w:type="auto"/>
        <w:jc w:val="center"/>
        <w:tblLayout w:type="fixed"/>
        <w:tblCellMar>
          <w:top w:w="0" w:type="dxa"/>
          <w:left w:w="108" w:type="dxa"/>
          <w:bottom w:w="0" w:type="dxa"/>
          <w:right w:w="108" w:type="dxa"/>
        </w:tblCellMar>
      </w:tblPr>
      <w:tblGrid>
        <w:gridCol w:w="1666"/>
        <w:gridCol w:w="1666"/>
        <w:gridCol w:w="1666"/>
        <w:gridCol w:w="1666"/>
        <w:gridCol w:w="1666"/>
        <w:gridCol w:w="1666"/>
      </w:tblGrid>
      <w:tr w14:paraId="70E66604">
        <w:tblPrEx>
          <w:tblCellMar>
            <w:top w:w="0" w:type="dxa"/>
            <w:left w:w="108" w:type="dxa"/>
            <w:bottom w:w="0" w:type="dxa"/>
            <w:right w:w="108" w:type="dxa"/>
          </w:tblCellMar>
        </w:tblPrEx>
        <w:trPr>
          <w:cantSplit/>
          <w:tblHeader/>
          <w:jc w:val="center"/>
        </w:trPr>
        <w:tc>
          <w:tcPr>
            <w:tcW w:w="792"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0600063B">
            <w:pPr>
              <w:spacing w:after="0" w:line="269" w:lineRule="auto"/>
            </w:pPr>
            <w:r>
              <w:rPr>
                <w:rFonts w:ascii="Noto Sans CJK SC" w:hAnsi="Noto Sans CJK SC" w:eastAsia="Noto Sans CJK SC"/>
                <w:b/>
                <w:color w:val="1F4E79"/>
                <w:sz w:val="17"/>
              </w:rPr>
              <w:t>实验</w:t>
            </w:r>
          </w:p>
        </w:tc>
        <w:tc>
          <w:tcPr>
            <w:tcW w:w="2232"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41EBF22B">
            <w:pPr>
              <w:spacing w:after="0" w:line="269" w:lineRule="auto"/>
              <w:jc w:val="center"/>
            </w:pPr>
            <w:r>
              <w:rPr>
                <w:rFonts w:ascii="Noto Sans CJK SC" w:hAnsi="Noto Sans CJK SC" w:eastAsia="Noto Sans CJK SC"/>
                <w:b/>
                <w:color w:val="1F4E79"/>
                <w:sz w:val="17"/>
              </w:rPr>
              <w:t>输入</w:t>
            </w:r>
          </w:p>
        </w:tc>
        <w:tc>
          <w:tcPr>
            <w:tcW w:w="2880"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7ED716EC">
            <w:pPr>
              <w:spacing w:after="0" w:line="269" w:lineRule="auto"/>
              <w:jc w:val="center"/>
            </w:pPr>
            <w:r>
              <w:rPr>
                <w:rFonts w:ascii="Noto Sans CJK SC" w:hAnsi="Noto Sans CJK SC" w:eastAsia="Noto Sans CJK SC"/>
                <w:b/>
                <w:color w:val="1F4E79"/>
                <w:sz w:val="17"/>
              </w:rPr>
              <w:t>目的</w:t>
            </w:r>
          </w:p>
        </w:tc>
        <w:tc>
          <w:tcPr>
            <w:tcW w:w="936"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28A0CB39">
            <w:pPr>
              <w:spacing w:after="0" w:line="269" w:lineRule="auto"/>
              <w:jc w:val="center"/>
            </w:pPr>
            <w:r>
              <w:rPr>
                <w:rFonts w:ascii="Noto Sans CJK SC" w:hAnsi="Noto Sans CJK SC" w:eastAsia="Noto Sans CJK SC"/>
                <w:b/>
                <w:color w:val="1F4E79"/>
                <w:sz w:val="17"/>
              </w:rPr>
              <w:t>IoU</w:t>
            </w:r>
          </w:p>
        </w:tc>
        <w:tc>
          <w:tcPr>
            <w:tcW w:w="1152"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63B289EE">
            <w:pPr>
              <w:spacing w:after="0" w:line="269" w:lineRule="auto"/>
              <w:jc w:val="center"/>
            </w:pPr>
            <w:r>
              <w:rPr>
                <w:rFonts w:ascii="Noto Sans CJK SC" w:hAnsi="Noto Sans CJK SC" w:eastAsia="Noto Sans CJK SC"/>
                <w:b/>
                <w:color w:val="1F4E79"/>
                <w:sz w:val="17"/>
              </w:rPr>
              <w:t>Dice/F1</w:t>
            </w:r>
          </w:p>
        </w:tc>
        <w:tc>
          <w:tcPr>
            <w:tcW w:w="2304"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3B9AB1E8">
            <w:pPr>
              <w:spacing w:after="0" w:line="269" w:lineRule="auto"/>
              <w:jc w:val="center"/>
            </w:pPr>
            <w:r>
              <w:rPr>
                <w:rFonts w:ascii="Noto Sans CJK SC" w:hAnsi="Noto Sans CJK SC" w:eastAsia="Noto Sans CJK SC"/>
                <w:b/>
                <w:color w:val="1F4E79"/>
                <w:sz w:val="17"/>
              </w:rPr>
              <w:t>结论</w:t>
            </w:r>
          </w:p>
        </w:tc>
      </w:tr>
      <w:tr w14:paraId="6F578B2B">
        <w:tblPrEx>
          <w:tblCellMar>
            <w:top w:w="0" w:type="dxa"/>
            <w:left w:w="108" w:type="dxa"/>
            <w:bottom w:w="0" w:type="dxa"/>
            <w:right w:w="108" w:type="dxa"/>
          </w:tblCellMar>
        </w:tblPrEx>
        <w:trPr>
          <w:cantSplit/>
          <w:jc w:val="center"/>
        </w:trPr>
        <w:tc>
          <w:tcPr>
            <w:tcW w:w="7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CBD3227">
            <w:pPr>
              <w:spacing w:after="0" w:line="269" w:lineRule="auto"/>
            </w:pPr>
            <w:r>
              <w:rPr>
                <w:rFonts w:ascii="Noto Sans CJK SC" w:hAnsi="Noto Sans CJK SC" w:eastAsia="Noto Sans CJK SC"/>
                <w:b w:val="0"/>
                <w:color w:val="2D2D2D"/>
                <w:sz w:val="17"/>
              </w:rPr>
              <w:t>E0</w:t>
            </w:r>
          </w:p>
        </w:tc>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6F1D80B">
            <w:pPr>
              <w:spacing w:after="0" w:line="269" w:lineRule="auto"/>
              <w:jc w:val="center"/>
            </w:pPr>
            <w:r>
              <w:rPr>
                <w:rFonts w:ascii="Noto Sans CJK SC" w:hAnsi="Noto Sans CJK SC" w:eastAsia="Noto Sans CJK SC"/>
                <w:b w:val="0"/>
                <w:color w:val="2D2D2D"/>
                <w:sz w:val="17"/>
              </w:rPr>
              <w:t>Event SAR</w:t>
            </w:r>
          </w:p>
        </w:tc>
        <w:tc>
          <w:tcPr>
            <w:tcW w:w="28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16101ED">
            <w:pPr>
              <w:spacing w:after="0" w:line="269" w:lineRule="auto"/>
              <w:jc w:val="center"/>
            </w:pPr>
            <w:r>
              <w:rPr>
                <w:rFonts w:ascii="Noto Sans CJK SC" w:hAnsi="Noto Sans CJK SC" w:eastAsia="Noto Sans CJK SC"/>
                <w:b w:val="0"/>
                <w:color w:val="2D2D2D"/>
                <w:sz w:val="17"/>
              </w:rPr>
              <w:t>建立最小 baseline</w:t>
            </w:r>
          </w:p>
        </w:tc>
        <w:tc>
          <w:tcPr>
            <w:tcW w:w="93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960FDDE">
            <w:pPr>
              <w:spacing w:after="0" w:line="269" w:lineRule="auto"/>
              <w:jc w:val="center"/>
            </w:pPr>
            <w:r>
              <w:rPr>
                <w:rFonts w:ascii="Noto Sans CJK SC" w:hAnsi="Noto Sans CJK SC" w:eastAsia="Noto Sans CJK SC"/>
                <w:b w:val="0"/>
                <w:color w:val="2D2D2D"/>
                <w:sz w:val="17"/>
              </w:rPr>
              <w:t>待测</w:t>
            </w:r>
          </w:p>
        </w:tc>
        <w:tc>
          <w:tcPr>
            <w:tcW w:w="115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E9AC95B">
            <w:pPr>
              <w:spacing w:after="0" w:line="269" w:lineRule="auto"/>
              <w:jc w:val="center"/>
            </w:pPr>
            <w:r>
              <w:rPr>
                <w:rFonts w:ascii="Noto Sans CJK SC" w:hAnsi="Noto Sans CJK SC" w:eastAsia="Noto Sans CJK SC"/>
                <w:b w:val="0"/>
                <w:color w:val="2D2D2D"/>
                <w:sz w:val="17"/>
              </w:rPr>
              <w:t>待测</w:t>
            </w:r>
          </w:p>
        </w:tc>
        <w:tc>
          <w:tcPr>
            <w:tcW w:w="230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16EA031">
            <w:pPr>
              <w:spacing w:after="0" w:line="269" w:lineRule="auto"/>
              <w:jc w:val="center"/>
            </w:pPr>
            <w:r>
              <w:rPr>
                <w:rFonts w:ascii="Noto Sans CJK SC" w:hAnsi="Noto Sans CJK SC" w:eastAsia="Noto Sans CJK SC"/>
                <w:b w:val="0"/>
                <w:color w:val="2D2D2D"/>
                <w:sz w:val="17"/>
              </w:rPr>
              <w:t>能否学习洪水分割</w:t>
            </w:r>
          </w:p>
        </w:tc>
      </w:tr>
      <w:tr w14:paraId="7AF84D64">
        <w:tblPrEx>
          <w:tblCellMar>
            <w:top w:w="0" w:type="dxa"/>
            <w:left w:w="108" w:type="dxa"/>
            <w:bottom w:w="0" w:type="dxa"/>
            <w:right w:w="108" w:type="dxa"/>
          </w:tblCellMar>
        </w:tblPrEx>
        <w:trPr>
          <w:cantSplit/>
          <w:jc w:val="center"/>
        </w:trPr>
        <w:tc>
          <w:tcPr>
            <w:tcW w:w="7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485D9E9">
            <w:pPr>
              <w:spacing w:after="0" w:line="269" w:lineRule="auto"/>
            </w:pPr>
            <w:r>
              <w:rPr>
                <w:rFonts w:ascii="Noto Sans CJK SC" w:hAnsi="Noto Sans CJK SC" w:eastAsia="Noto Sans CJK SC"/>
                <w:b w:val="0"/>
                <w:color w:val="2D2D2D"/>
                <w:sz w:val="17"/>
              </w:rPr>
              <w:t>E1</w:t>
            </w:r>
          </w:p>
        </w:tc>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479E06B">
            <w:pPr>
              <w:spacing w:after="0" w:line="269" w:lineRule="auto"/>
              <w:jc w:val="center"/>
            </w:pPr>
            <w:r>
              <w:rPr>
                <w:rFonts w:ascii="Noto Sans CJK SC" w:hAnsi="Noto Sans CJK SC" w:eastAsia="Noto Sans CJK SC"/>
                <w:b w:val="0"/>
                <w:color w:val="2D2D2D"/>
                <w:sz w:val="17"/>
              </w:rPr>
              <w:t>Event SAR + DEM</w:t>
            </w:r>
          </w:p>
        </w:tc>
        <w:tc>
          <w:tcPr>
            <w:tcW w:w="28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D5FE43F">
            <w:pPr>
              <w:spacing w:after="0" w:line="269" w:lineRule="auto"/>
              <w:jc w:val="center"/>
            </w:pPr>
            <w:r>
              <w:rPr>
                <w:rFonts w:ascii="Noto Sans CJK SC" w:hAnsi="Noto Sans CJK SC" w:eastAsia="Noto Sans CJK SC"/>
                <w:b w:val="0"/>
                <w:color w:val="2D2D2D"/>
                <w:sz w:val="17"/>
              </w:rPr>
              <w:t>验证地形先验</w:t>
            </w:r>
          </w:p>
        </w:tc>
        <w:tc>
          <w:tcPr>
            <w:tcW w:w="93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EF326B9">
            <w:pPr>
              <w:spacing w:after="0" w:line="269" w:lineRule="auto"/>
              <w:jc w:val="center"/>
            </w:pPr>
            <w:r>
              <w:rPr>
                <w:rFonts w:ascii="Noto Sans CJK SC" w:hAnsi="Noto Sans CJK SC" w:eastAsia="Noto Sans CJK SC"/>
                <w:b w:val="0"/>
                <w:color w:val="2D2D2D"/>
                <w:sz w:val="17"/>
              </w:rPr>
              <w:t>待测</w:t>
            </w:r>
          </w:p>
        </w:tc>
        <w:tc>
          <w:tcPr>
            <w:tcW w:w="115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B1A9332">
            <w:pPr>
              <w:spacing w:after="0" w:line="269" w:lineRule="auto"/>
              <w:jc w:val="center"/>
            </w:pPr>
            <w:r>
              <w:rPr>
                <w:rFonts w:ascii="Noto Sans CJK SC" w:hAnsi="Noto Sans CJK SC" w:eastAsia="Noto Sans CJK SC"/>
                <w:b w:val="0"/>
                <w:color w:val="2D2D2D"/>
                <w:sz w:val="17"/>
              </w:rPr>
              <w:t>待测</w:t>
            </w:r>
          </w:p>
        </w:tc>
        <w:tc>
          <w:tcPr>
            <w:tcW w:w="230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A83F682">
            <w:pPr>
              <w:spacing w:after="0" w:line="269" w:lineRule="auto"/>
              <w:jc w:val="center"/>
            </w:pPr>
            <w:r>
              <w:rPr>
                <w:rFonts w:ascii="Noto Sans CJK SC" w:hAnsi="Noto Sans CJK SC" w:eastAsia="Noto Sans CJK SC"/>
                <w:b w:val="0"/>
                <w:color w:val="2D2D2D"/>
                <w:sz w:val="17"/>
              </w:rPr>
              <w:t>DEM 是否带来增益</w:t>
            </w:r>
          </w:p>
        </w:tc>
      </w:tr>
      <w:tr w14:paraId="4449430C">
        <w:tblPrEx>
          <w:tblCellMar>
            <w:top w:w="0" w:type="dxa"/>
            <w:left w:w="108" w:type="dxa"/>
            <w:bottom w:w="0" w:type="dxa"/>
            <w:right w:w="108" w:type="dxa"/>
          </w:tblCellMar>
        </w:tblPrEx>
        <w:trPr>
          <w:cantSplit/>
          <w:jc w:val="center"/>
        </w:trPr>
        <w:tc>
          <w:tcPr>
            <w:tcW w:w="7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EA6A563">
            <w:pPr>
              <w:spacing w:after="0" w:line="269" w:lineRule="auto"/>
            </w:pPr>
            <w:r>
              <w:rPr>
                <w:rFonts w:ascii="Noto Sans CJK SC" w:hAnsi="Noto Sans CJK SC" w:eastAsia="Noto Sans CJK SC"/>
                <w:b w:val="0"/>
                <w:color w:val="2D2D2D"/>
                <w:sz w:val="17"/>
              </w:rPr>
              <w:t>E2</w:t>
            </w:r>
          </w:p>
        </w:tc>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3DDC3CF">
            <w:pPr>
              <w:spacing w:after="0" w:line="269" w:lineRule="auto"/>
              <w:jc w:val="center"/>
            </w:pPr>
            <w:r>
              <w:rPr>
                <w:rFonts w:ascii="Noto Sans CJK SC" w:hAnsi="Noto Sans CJK SC" w:eastAsia="Noto Sans CJK SC"/>
                <w:b w:val="0"/>
                <w:color w:val="2D2D2D"/>
                <w:sz w:val="17"/>
              </w:rPr>
              <w:t>Pre + Event SAR</w:t>
            </w:r>
          </w:p>
        </w:tc>
        <w:tc>
          <w:tcPr>
            <w:tcW w:w="28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E5B14D7">
            <w:pPr>
              <w:spacing w:after="0" w:line="269" w:lineRule="auto"/>
              <w:jc w:val="center"/>
            </w:pPr>
            <w:r>
              <w:rPr>
                <w:rFonts w:ascii="Noto Sans CJK SC" w:hAnsi="Noto Sans CJK SC" w:eastAsia="Noto Sans CJK SC"/>
                <w:b w:val="0"/>
                <w:color w:val="2D2D2D"/>
                <w:sz w:val="17"/>
              </w:rPr>
              <w:t>验证时相信息</w:t>
            </w:r>
          </w:p>
        </w:tc>
        <w:tc>
          <w:tcPr>
            <w:tcW w:w="93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0DDA590">
            <w:pPr>
              <w:spacing w:after="0" w:line="269" w:lineRule="auto"/>
              <w:jc w:val="center"/>
            </w:pPr>
            <w:r>
              <w:rPr>
                <w:rFonts w:ascii="Noto Sans CJK SC" w:hAnsi="Noto Sans CJK SC" w:eastAsia="Noto Sans CJK SC"/>
                <w:b w:val="0"/>
                <w:color w:val="2D2D2D"/>
                <w:sz w:val="17"/>
              </w:rPr>
              <w:t>待测</w:t>
            </w:r>
          </w:p>
        </w:tc>
        <w:tc>
          <w:tcPr>
            <w:tcW w:w="115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6C66D2D">
            <w:pPr>
              <w:spacing w:after="0" w:line="269" w:lineRule="auto"/>
              <w:jc w:val="center"/>
            </w:pPr>
            <w:r>
              <w:rPr>
                <w:rFonts w:ascii="Noto Sans CJK SC" w:hAnsi="Noto Sans CJK SC" w:eastAsia="Noto Sans CJK SC"/>
                <w:b w:val="0"/>
                <w:color w:val="2D2D2D"/>
                <w:sz w:val="17"/>
              </w:rPr>
              <w:t>待测</w:t>
            </w:r>
          </w:p>
        </w:tc>
        <w:tc>
          <w:tcPr>
            <w:tcW w:w="230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4CF6FE9F">
            <w:pPr>
              <w:spacing w:after="0" w:line="269" w:lineRule="auto"/>
              <w:jc w:val="center"/>
            </w:pPr>
            <w:r>
              <w:rPr>
                <w:rFonts w:ascii="Noto Sans CJK SC" w:hAnsi="Noto Sans CJK SC" w:eastAsia="Noto Sans CJK SC"/>
                <w:b w:val="0"/>
                <w:color w:val="2D2D2D"/>
                <w:sz w:val="17"/>
              </w:rPr>
              <w:t>灾前状态是否有帮助</w:t>
            </w:r>
          </w:p>
        </w:tc>
      </w:tr>
      <w:tr w14:paraId="0927C2D2">
        <w:tblPrEx>
          <w:tblCellMar>
            <w:top w:w="0" w:type="dxa"/>
            <w:left w:w="108" w:type="dxa"/>
            <w:bottom w:w="0" w:type="dxa"/>
            <w:right w:w="108" w:type="dxa"/>
          </w:tblCellMar>
        </w:tblPrEx>
        <w:trPr>
          <w:cantSplit/>
          <w:jc w:val="center"/>
        </w:trPr>
        <w:tc>
          <w:tcPr>
            <w:tcW w:w="79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4544759">
            <w:pPr>
              <w:spacing w:after="0" w:line="269" w:lineRule="auto"/>
            </w:pPr>
            <w:r>
              <w:rPr>
                <w:rFonts w:ascii="Noto Sans CJK SC" w:hAnsi="Noto Sans CJK SC" w:eastAsia="Noto Sans CJK SC"/>
                <w:b w:val="0"/>
                <w:color w:val="2D2D2D"/>
                <w:sz w:val="17"/>
              </w:rPr>
              <w:t>E3</w:t>
            </w:r>
          </w:p>
        </w:tc>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53E3B33">
            <w:pPr>
              <w:spacing w:after="0" w:line="269" w:lineRule="auto"/>
            </w:pPr>
            <w:r>
              <w:rPr>
                <w:rFonts w:ascii="Noto Sans CJK SC" w:hAnsi="Noto Sans CJK SC" w:eastAsia="Noto Sans CJK SC"/>
                <w:b w:val="0"/>
                <w:color w:val="2D2D2D"/>
                <w:sz w:val="17"/>
              </w:rPr>
              <w:t>Pre + Event + DEM</w:t>
            </w:r>
          </w:p>
        </w:tc>
        <w:tc>
          <w:tcPr>
            <w:tcW w:w="28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F6ED4B6">
            <w:pPr>
              <w:spacing w:after="0" w:line="269" w:lineRule="auto"/>
              <w:jc w:val="center"/>
            </w:pPr>
            <w:r>
              <w:rPr>
                <w:rFonts w:ascii="Noto Sans CJK SC" w:hAnsi="Noto Sans CJK SC" w:eastAsia="Noto Sans CJK SC"/>
                <w:b w:val="0"/>
                <w:color w:val="2D2D2D"/>
                <w:sz w:val="17"/>
              </w:rPr>
              <w:t>当前阶段完整模型</w:t>
            </w:r>
          </w:p>
        </w:tc>
        <w:tc>
          <w:tcPr>
            <w:tcW w:w="93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CBEE0D1">
            <w:pPr>
              <w:spacing w:after="0" w:line="269" w:lineRule="auto"/>
              <w:jc w:val="center"/>
            </w:pPr>
            <w:r>
              <w:rPr>
                <w:rFonts w:ascii="Noto Sans CJK SC" w:hAnsi="Noto Sans CJK SC" w:eastAsia="Noto Sans CJK SC"/>
                <w:b w:val="0"/>
                <w:color w:val="2D2D2D"/>
                <w:sz w:val="17"/>
              </w:rPr>
              <w:t>待测</w:t>
            </w:r>
          </w:p>
        </w:tc>
        <w:tc>
          <w:tcPr>
            <w:tcW w:w="115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3132544">
            <w:pPr>
              <w:spacing w:after="0" w:line="269" w:lineRule="auto"/>
              <w:jc w:val="center"/>
            </w:pPr>
            <w:r>
              <w:rPr>
                <w:rFonts w:ascii="Noto Sans CJK SC" w:hAnsi="Noto Sans CJK SC" w:eastAsia="Noto Sans CJK SC"/>
                <w:b w:val="0"/>
                <w:color w:val="2D2D2D"/>
                <w:sz w:val="17"/>
              </w:rPr>
              <w:t>待测</w:t>
            </w:r>
          </w:p>
        </w:tc>
        <w:tc>
          <w:tcPr>
            <w:tcW w:w="2304"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B0D5735">
            <w:pPr>
              <w:spacing w:after="0" w:line="269" w:lineRule="auto"/>
              <w:jc w:val="center"/>
            </w:pPr>
            <w:r>
              <w:rPr>
                <w:rFonts w:ascii="Noto Sans CJK SC" w:hAnsi="Noto Sans CJK SC" w:eastAsia="Noto Sans CJK SC"/>
                <w:b w:val="0"/>
                <w:color w:val="2D2D2D"/>
                <w:sz w:val="17"/>
              </w:rPr>
              <w:t>是否形成稳定最佳方案</w:t>
            </w:r>
          </w:p>
        </w:tc>
      </w:tr>
    </w:tbl>
    <w:p w14:paraId="09A6ADA1">
      <w:pPr>
        <w:keepNext/>
        <w:spacing w:before="180" w:after="100"/>
      </w:pPr>
      <w:r>
        <w:rPr>
          <w:rFonts w:ascii="Noto Sans CJK SC" w:hAnsi="Noto Sans CJK SC" w:eastAsia="Noto Sans CJK SC"/>
          <w:b/>
          <w:color w:val="2A587E"/>
          <w:sz w:val="26"/>
        </w:rPr>
        <w:t>7.1 评价指标优先级</w:t>
      </w:r>
    </w:p>
    <w:p w14:paraId="411B868D">
      <w:pPr>
        <w:pStyle w:val="16"/>
        <w:spacing w:after="60" w:line="288" w:lineRule="auto"/>
      </w:pPr>
      <w:r>
        <w:rPr>
          <w:rFonts w:ascii="Noto Sans CJK SC" w:hAnsi="Noto Sans CJK SC" w:eastAsia="Noto Sans CJK SC"/>
          <w:color w:val="222222"/>
          <w:sz w:val="22"/>
        </w:rPr>
        <w:t>IoU：主指标，直接衡量预测洪水区域与真值区域的空间重叠。</w:t>
      </w:r>
    </w:p>
    <w:p w14:paraId="025331E2">
      <w:pPr>
        <w:pStyle w:val="16"/>
        <w:spacing w:after="60" w:line="288" w:lineRule="auto"/>
      </w:pPr>
      <w:r>
        <w:rPr>
          <w:rFonts w:ascii="Noto Sans CJK SC" w:hAnsi="Noto Sans CJK SC" w:eastAsia="Noto Sans CJK SC"/>
          <w:color w:val="222222"/>
          <w:sz w:val="22"/>
        </w:rPr>
        <w:t>Dice / F1：反映区域分割质量，适合类别不平衡任务。</w:t>
      </w:r>
    </w:p>
    <w:p w14:paraId="6A577F51">
      <w:pPr>
        <w:pStyle w:val="16"/>
        <w:spacing w:after="60" w:line="288" w:lineRule="auto"/>
      </w:pPr>
      <w:r>
        <w:rPr>
          <w:rFonts w:ascii="Noto Sans CJK SC" w:hAnsi="Noto Sans CJK SC" w:eastAsia="Noto Sans CJK SC"/>
          <w:color w:val="222222"/>
          <w:sz w:val="22"/>
        </w:rPr>
        <w:t>Precision：避免过度把非洪水区域标成洪水。</w:t>
      </w:r>
    </w:p>
    <w:p w14:paraId="5829DC3B">
      <w:pPr>
        <w:pStyle w:val="16"/>
        <w:spacing w:after="60" w:line="288" w:lineRule="auto"/>
      </w:pPr>
      <w:r>
        <w:rPr>
          <w:rFonts w:ascii="Noto Sans CJK SC" w:hAnsi="Noto Sans CJK SC" w:eastAsia="Noto Sans CJK SC"/>
          <w:color w:val="222222"/>
          <w:sz w:val="22"/>
        </w:rPr>
        <w:t>Recall：避免漏掉实际洪水区域。</w:t>
      </w:r>
    </w:p>
    <w:p w14:paraId="76F574FE">
      <w:pPr>
        <w:pStyle w:val="16"/>
        <w:spacing w:after="60" w:line="288" w:lineRule="auto"/>
      </w:pPr>
      <w:r>
        <w:rPr>
          <w:rFonts w:ascii="Noto Sans CJK SC" w:hAnsi="Noto Sans CJK SC" w:eastAsia="Noto Sans CJK SC"/>
          <w:color w:val="222222"/>
          <w:sz w:val="22"/>
        </w:rPr>
        <w:t>Accuracy：仅作为补充，不可作为主结论。</w:t>
      </w:r>
    </w:p>
    <w:p w14:paraId="73BF482E">
      <w:pPr>
        <w:keepNext/>
        <w:spacing w:before="240" w:after="140"/>
      </w:pPr>
      <w:r>
        <w:rPr>
          <w:rFonts w:ascii="Noto Sans CJK SC" w:hAnsi="Noto Sans CJK SC" w:eastAsia="Noto Sans CJK SC"/>
          <w:b/>
          <w:color w:val="1C4874"/>
          <w:sz w:val="32"/>
        </w:rPr>
        <w:t>八、具体执行清单</w:t>
      </w:r>
    </w:p>
    <w:p w14:paraId="4D8C75D2">
      <w:pPr>
        <w:keepNext/>
        <w:spacing w:before="180" w:after="100"/>
      </w:pPr>
      <w:r>
        <w:rPr>
          <w:rFonts w:ascii="Noto Sans CJK SC" w:hAnsi="Noto Sans CJK SC" w:eastAsia="Noto Sans CJK SC"/>
          <w:b/>
          <w:color w:val="2A587E"/>
          <w:sz w:val="26"/>
        </w:rPr>
        <w:t>阶段 A：环境与数据读取</w:t>
      </w:r>
    </w:p>
    <w:p w14:paraId="200F4D75">
      <w:pPr>
        <w:pStyle w:val="16"/>
        <w:spacing w:after="60" w:line="288" w:lineRule="auto"/>
      </w:pPr>
      <w:r>
        <w:rPr>
          <w:rFonts w:ascii="Noto Sans CJK SC" w:hAnsi="Noto Sans CJK SC" w:eastAsia="Noto Sans CJK SC"/>
          <w:color w:val="222222"/>
          <w:sz w:val="22"/>
        </w:rPr>
        <w:t>建立独立 Python 环境并固定依赖版本。</w:t>
      </w:r>
    </w:p>
    <w:p w14:paraId="7A30BA15">
      <w:pPr>
        <w:pStyle w:val="16"/>
        <w:spacing w:after="60" w:line="288" w:lineRule="auto"/>
      </w:pPr>
      <w:r>
        <w:rPr>
          <w:rFonts w:ascii="Noto Sans CJK SC" w:hAnsi="Noto Sans CJK SC" w:eastAsia="Noto Sans CJK SC"/>
          <w:color w:val="222222"/>
          <w:sz w:val="22"/>
        </w:rPr>
        <w:t>安装 impactmesh / rasterio / torch / numpy / matplotlib 等基础组件。</w:t>
      </w:r>
    </w:p>
    <w:p w14:paraId="58DCDC9B">
      <w:pPr>
        <w:pStyle w:val="16"/>
        <w:spacing w:after="60" w:line="288" w:lineRule="auto"/>
      </w:pPr>
      <w:r>
        <w:rPr>
          <w:rFonts w:ascii="Noto Sans CJK SC" w:hAnsi="Noto Sans CJK SC" w:eastAsia="Noto Sans CJK SC"/>
          <w:color w:val="222222"/>
          <w:sz w:val="22"/>
        </w:rPr>
        <w:t>下载 validation split 或更小可用子集。</w:t>
      </w:r>
    </w:p>
    <w:p w14:paraId="448CF5D3">
      <w:pPr>
        <w:pStyle w:val="16"/>
        <w:spacing w:after="60" w:line="288" w:lineRule="auto"/>
      </w:pPr>
      <w:r>
        <w:rPr>
          <w:rFonts w:ascii="Noto Sans CJK SC" w:hAnsi="Noto Sans CJK SC" w:eastAsia="Noto Sans CJK SC"/>
          <w:color w:val="222222"/>
          <w:sz w:val="22"/>
        </w:rPr>
        <w:t>成功读取一条样本的所有 SAR 时相、DEM 和 MASK。</w:t>
      </w:r>
    </w:p>
    <w:p w14:paraId="66187BF4">
      <w:pPr>
        <w:pStyle w:val="16"/>
        <w:spacing w:after="60" w:line="288" w:lineRule="auto"/>
      </w:pPr>
      <w:r>
        <w:rPr>
          <w:rFonts w:ascii="Noto Sans CJK SC" w:hAnsi="Noto Sans CJK SC" w:eastAsia="Noto Sans CJK SC"/>
          <w:color w:val="222222"/>
          <w:sz w:val="22"/>
        </w:rPr>
        <w:t>输出数据 shape、dtype、数值范围、缺失值统计。</w:t>
      </w:r>
    </w:p>
    <w:p w14:paraId="290C5968">
      <w:pPr>
        <w:keepNext/>
        <w:spacing w:before="180" w:after="100"/>
      </w:pPr>
      <w:r>
        <w:rPr>
          <w:rFonts w:ascii="Noto Sans CJK SC" w:hAnsi="Noto Sans CJK SC" w:eastAsia="Noto Sans CJK SC"/>
          <w:b/>
          <w:color w:val="2A587E"/>
          <w:sz w:val="26"/>
        </w:rPr>
        <w:t>阶段 B：数据可视化与核验</w:t>
      </w:r>
    </w:p>
    <w:p w14:paraId="389C4DDD">
      <w:pPr>
        <w:pStyle w:val="16"/>
        <w:spacing w:after="60" w:line="288" w:lineRule="auto"/>
      </w:pPr>
      <w:r>
        <w:rPr>
          <w:rFonts w:ascii="Noto Sans CJK SC" w:hAnsi="Noto Sans CJK SC" w:eastAsia="Noto Sans CJK SC"/>
          <w:color w:val="222222"/>
          <w:sz w:val="22"/>
        </w:rPr>
        <w:t>完成至少 20 个不同事件的六联图。</w:t>
      </w:r>
    </w:p>
    <w:p w14:paraId="2D28CC4D">
      <w:pPr>
        <w:pStyle w:val="16"/>
        <w:spacing w:after="60" w:line="288" w:lineRule="auto"/>
      </w:pPr>
      <w:r>
        <w:rPr>
          <w:rFonts w:ascii="Noto Sans CJK SC" w:hAnsi="Noto Sans CJK SC" w:eastAsia="Noto Sans CJK SC"/>
          <w:color w:val="222222"/>
          <w:sz w:val="22"/>
        </w:rPr>
        <w:t>整理事件级时间表，确认 event / post-event / MASK 语义。</w:t>
      </w:r>
    </w:p>
    <w:p w14:paraId="48968F1B">
      <w:pPr>
        <w:pStyle w:val="16"/>
        <w:spacing w:after="60" w:line="288" w:lineRule="auto"/>
      </w:pPr>
      <w:r>
        <w:rPr>
          <w:rFonts w:ascii="Noto Sans CJK SC" w:hAnsi="Noto Sans CJK SC" w:eastAsia="Noto Sans CJK SC"/>
          <w:color w:val="222222"/>
          <w:sz w:val="22"/>
        </w:rPr>
        <w:t>检查 SAR 与 DEM/MASK 是否像素级对齐。</w:t>
      </w:r>
    </w:p>
    <w:p w14:paraId="55D78FF7">
      <w:pPr>
        <w:pStyle w:val="16"/>
        <w:spacing w:after="60" w:line="288" w:lineRule="auto"/>
      </w:pPr>
      <w:r>
        <w:rPr>
          <w:rFonts w:ascii="Noto Sans CJK SC" w:hAnsi="Noto Sans CJK SC" w:eastAsia="Noto Sans CJK SC"/>
          <w:color w:val="222222"/>
          <w:sz w:val="22"/>
        </w:rPr>
        <w:t>记录异常事件，并建立筛除或修复规则。</w:t>
      </w:r>
    </w:p>
    <w:p w14:paraId="415FCE27">
      <w:pPr>
        <w:keepNext/>
        <w:spacing w:before="180" w:after="100"/>
      </w:pPr>
      <w:r>
        <w:rPr>
          <w:rFonts w:ascii="Noto Sans CJK SC" w:hAnsi="Noto Sans CJK SC" w:eastAsia="Noto Sans CJK SC"/>
          <w:b/>
          <w:color w:val="2A587E"/>
          <w:sz w:val="26"/>
        </w:rPr>
        <w:t>阶段 C：Baseline 训练</w:t>
      </w:r>
    </w:p>
    <w:p w14:paraId="3F985233">
      <w:pPr>
        <w:pStyle w:val="16"/>
        <w:spacing w:after="60" w:line="288" w:lineRule="auto"/>
      </w:pPr>
      <w:r>
        <w:rPr>
          <w:rFonts w:ascii="Noto Sans CJK SC" w:hAnsi="Noto Sans CJK SC" w:eastAsia="Noto Sans CJK SC"/>
          <w:color w:val="222222"/>
          <w:sz w:val="22"/>
        </w:rPr>
        <w:t>先在一个很小的数据子集上过拟合，验证模型、loss 与标签方向完全正确。</w:t>
      </w:r>
    </w:p>
    <w:p w14:paraId="014908E9">
      <w:pPr>
        <w:pStyle w:val="16"/>
        <w:spacing w:after="60" w:line="288" w:lineRule="auto"/>
      </w:pPr>
      <w:r>
        <w:rPr>
          <w:rFonts w:ascii="Noto Sans CJK SC" w:hAnsi="Noto Sans CJK SC" w:eastAsia="Noto Sans CJK SC"/>
          <w:color w:val="222222"/>
          <w:sz w:val="22"/>
        </w:rPr>
        <w:t>再使用正常 train/val 划分训练 U-Net。</w:t>
      </w:r>
    </w:p>
    <w:p w14:paraId="624C934D">
      <w:pPr>
        <w:pStyle w:val="16"/>
        <w:spacing w:after="60" w:line="288" w:lineRule="auto"/>
      </w:pPr>
      <w:r>
        <w:rPr>
          <w:rFonts w:ascii="Noto Sans CJK SC" w:hAnsi="Noto Sans CJK SC" w:eastAsia="Noto Sans CJK SC"/>
          <w:color w:val="222222"/>
          <w:sz w:val="22"/>
        </w:rPr>
        <w:t>保存最佳 checkpoint、训练曲线、验证指标与 20 组预测可视化。</w:t>
      </w:r>
    </w:p>
    <w:p w14:paraId="72167130">
      <w:pPr>
        <w:pStyle w:val="16"/>
        <w:spacing w:after="60" w:line="288" w:lineRule="auto"/>
      </w:pPr>
      <w:r>
        <w:rPr>
          <w:rFonts w:ascii="Noto Sans CJK SC" w:hAnsi="Noto Sans CJK SC" w:eastAsia="Noto Sans CJK SC"/>
          <w:color w:val="222222"/>
          <w:sz w:val="22"/>
        </w:rPr>
        <w:t>固定随机种子和训练配置，保证可复现。</w:t>
      </w:r>
    </w:p>
    <w:p w14:paraId="65173549">
      <w:pPr>
        <w:keepNext/>
        <w:spacing w:before="180" w:after="100"/>
      </w:pPr>
      <w:r>
        <w:rPr>
          <w:rFonts w:ascii="Noto Sans CJK SC" w:hAnsi="Noto Sans CJK SC" w:eastAsia="Noto Sans CJK SC"/>
          <w:b/>
          <w:color w:val="2A587E"/>
          <w:sz w:val="26"/>
        </w:rPr>
        <w:t>阶段 D：消融与比较</w:t>
      </w:r>
    </w:p>
    <w:p w14:paraId="27672F20">
      <w:pPr>
        <w:pStyle w:val="16"/>
        <w:spacing w:after="60" w:line="288" w:lineRule="auto"/>
      </w:pPr>
      <w:r>
        <w:rPr>
          <w:rFonts w:ascii="Noto Sans CJK SC" w:hAnsi="Noto Sans CJK SC" w:eastAsia="Noto Sans CJK SC"/>
          <w:color w:val="222222"/>
          <w:sz w:val="22"/>
        </w:rPr>
        <w:t>依次完成 E0、E1、E2、E3，不跳步。</w:t>
      </w:r>
    </w:p>
    <w:p w14:paraId="7B8E4FA5">
      <w:pPr>
        <w:pStyle w:val="16"/>
        <w:spacing w:after="60" w:line="288" w:lineRule="auto"/>
      </w:pPr>
      <w:r>
        <w:rPr>
          <w:rFonts w:ascii="Noto Sans CJK SC" w:hAnsi="Noto Sans CJK SC" w:eastAsia="Noto Sans CJK SC"/>
          <w:color w:val="222222"/>
          <w:sz w:val="22"/>
        </w:rPr>
        <w:t>每个实验保持训练轮数、数据划分、优化器等条件尽可能一致。</w:t>
      </w:r>
    </w:p>
    <w:p w14:paraId="6D5F934C">
      <w:pPr>
        <w:pStyle w:val="16"/>
        <w:spacing w:after="60" w:line="288" w:lineRule="auto"/>
      </w:pPr>
      <w:r>
        <w:rPr>
          <w:rFonts w:ascii="Noto Sans CJK SC" w:hAnsi="Noto Sans CJK SC" w:eastAsia="Noto Sans CJK SC"/>
          <w:color w:val="222222"/>
          <w:sz w:val="22"/>
        </w:rPr>
        <w:t>整理指标表与典型案例，重点展示“加 DEM”“加灾前 SAR”后改变了什么。</w:t>
      </w:r>
    </w:p>
    <w:p w14:paraId="28E7DDE3">
      <w:pPr>
        <w:keepNext/>
        <w:spacing w:before="180" w:after="100"/>
      </w:pPr>
      <w:r>
        <w:rPr>
          <w:rFonts w:ascii="Noto Sans CJK SC" w:hAnsi="Noto Sans CJK SC" w:eastAsia="Noto Sans CJK SC"/>
          <w:b/>
          <w:color w:val="2A587E"/>
          <w:sz w:val="26"/>
        </w:rPr>
        <w:t>阶段 E：项目路线决策</w:t>
      </w:r>
    </w:p>
    <w:p w14:paraId="70382A9B">
      <w:pPr>
        <w:pStyle w:val="16"/>
        <w:spacing w:after="60" w:line="288" w:lineRule="auto"/>
      </w:pPr>
      <w:r>
        <w:rPr>
          <w:rFonts w:ascii="Noto Sans CJK SC" w:hAnsi="Noto Sans CJK SC" w:eastAsia="Noto Sans CJK SC"/>
          <w:color w:val="222222"/>
          <w:sz w:val="22"/>
        </w:rPr>
        <w:t>若存在可靠早期→后期标签：进入 V3 演化预测。</w:t>
      </w:r>
    </w:p>
    <w:p w14:paraId="41709E20">
      <w:pPr>
        <w:pStyle w:val="16"/>
        <w:spacing w:after="60" w:line="288" w:lineRule="auto"/>
      </w:pPr>
      <w:r>
        <w:rPr>
          <w:rFonts w:ascii="Noto Sans CJK SC" w:hAnsi="Noto Sans CJK SC" w:eastAsia="Noto Sans CJK SC"/>
          <w:color w:val="222222"/>
          <w:sz w:val="22"/>
        </w:rPr>
        <w:t>若不存在：先完成洪涝智能评估版作品，并寻找额外时间序列标签。</w:t>
      </w:r>
    </w:p>
    <w:p w14:paraId="6F8F730D">
      <w:pPr>
        <w:pStyle w:val="16"/>
        <w:spacing w:after="60" w:line="288" w:lineRule="auto"/>
      </w:pPr>
      <w:r>
        <w:rPr>
          <w:rFonts w:ascii="Noto Sans CJK SC" w:hAnsi="Noto Sans CJK SC" w:eastAsia="Noto Sans CJK SC"/>
          <w:color w:val="222222"/>
          <w:sz w:val="22"/>
        </w:rPr>
        <w:t>只有在 V2/E3 稳定后，才考虑 Transformer、Attention 或基础模型。</w:t>
      </w:r>
    </w:p>
    <w:p w14:paraId="07DD3699">
      <w:pPr>
        <w:keepNext/>
        <w:spacing w:before="240" w:after="140"/>
      </w:pPr>
      <w:r>
        <w:rPr>
          <w:rFonts w:hint="eastAsia" w:eastAsia="宋体"/>
          <w:b/>
          <w:color w:val="1C4874"/>
          <w:sz w:val="32"/>
          <w:lang w:val="en-US" w:eastAsia="zh-CN"/>
        </w:rPr>
        <w:t>九</w:t>
      </w:r>
      <w:r>
        <w:rPr>
          <w:rFonts w:ascii="Noto Sans CJK SC" w:hAnsi="Noto Sans CJK SC" w:eastAsia="Noto Sans CJK SC"/>
          <w:b/>
          <w:color w:val="1C4874"/>
          <w:sz w:val="32"/>
        </w:rPr>
        <w:t>、阶段一最终交付物</w:t>
      </w:r>
    </w:p>
    <w:tbl>
      <w:tblPr>
        <w:tblStyle w:val="32"/>
        <w:tblW w:w="0" w:type="auto"/>
        <w:jc w:val="center"/>
        <w:tblLayout w:type="fixed"/>
        <w:tblCellMar>
          <w:top w:w="0" w:type="dxa"/>
          <w:left w:w="108" w:type="dxa"/>
          <w:bottom w:w="0" w:type="dxa"/>
          <w:right w:w="108" w:type="dxa"/>
        </w:tblCellMar>
      </w:tblPr>
      <w:tblGrid>
        <w:gridCol w:w="3331"/>
        <w:gridCol w:w="3331"/>
        <w:gridCol w:w="3331"/>
      </w:tblGrid>
      <w:tr w14:paraId="1992AA7A">
        <w:tblPrEx>
          <w:tblCellMar>
            <w:top w:w="0" w:type="dxa"/>
            <w:left w:w="108" w:type="dxa"/>
            <w:bottom w:w="0" w:type="dxa"/>
            <w:right w:w="108" w:type="dxa"/>
          </w:tblCellMar>
        </w:tblPrEx>
        <w:trPr>
          <w:cantSplit/>
          <w:tblHeader/>
          <w:jc w:val="center"/>
        </w:trPr>
        <w:tc>
          <w:tcPr>
            <w:tcW w:w="2232"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79A577AB">
            <w:pPr>
              <w:spacing w:after="0" w:line="269" w:lineRule="auto"/>
            </w:pPr>
            <w:r>
              <w:rPr>
                <w:rFonts w:ascii="Noto Sans CJK SC" w:hAnsi="Noto Sans CJK SC" w:eastAsia="Noto Sans CJK SC"/>
                <w:b/>
                <w:color w:val="1F4E79"/>
                <w:sz w:val="19"/>
              </w:rPr>
              <w:t>交付物</w:t>
            </w:r>
          </w:p>
        </w:tc>
        <w:tc>
          <w:tcPr>
            <w:tcW w:w="3816"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6D994AF1">
            <w:pPr>
              <w:spacing w:after="0" w:line="269" w:lineRule="auto"/>
              <w:jc w:val="center"/>
            </w:pPr>
            <w:r>
              <w:rPr>
                <w:rFonts w:ascii="Noto Sans CJK SC" w:hAnsi="Noto Sans CJK SC" w:eastAsia="Noto Sans CJK SC"/>
                <w:b/>
                <w:color w:val="1F4E79"/>
                <w:sz w:val="19"/>
              </w:rPr>
              <w:t>最低要求</w:t>
            </w:r>
          </w:p>
        </w:tc>
        <w:tc>
          <w:tcPr>
            <w:tcW w:w="3528"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76F23DD5">
            <w:pPr>
              <w:spacing w:after="0" w:line="269" w:lineRule="auto"/>
              <w:jc w:val="center"/>
            </w:pPr>
            <w:r>
              <w:rPr>
                <w:rFonts w:ascii="Noto Sans CJK SC" w:hAnsi="Noto Sans CJK SC" w:eastAsia="Noto Sans CJK SC"/>
                <w:b/>
                <w:color w:val="1F4E79"/>
                <w:sz w:val="19"/>
              </w:rPr>
              <w:t>后续用途</w:t>
            </w:r>
          </w:p>
        </w:tc>
      </w:tr>
      <w:tr w14:paraId="0D8DF15F">
        <w:tblPrEx>
          <w:tblCellMar>
            <w:top w:w="0" w:type="dxa"/>
            <w:left w:w="108" w:type="dxa"/>
            <w:bottom w:w="0" w:type="dxa"/>
            <w:right w:w="108" w:type="dxa"/>
          </w:tblCellMar>
        </w:tblPrEx>
        <w:trPr>
          <w:cantSplit/>
          <w:jc w:val="center"/>
        </w:trPr>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5FB5D73">
            <w:pPr>
              <w:spacing w:after="0" w:line="269" w:lineRule="auto"/>
            </w:pPr>
            <w:r>
              <w:rPr>
                <w:rFonts w:ascii="Noto Sans CJK SC" w:hAnsi="Noto Sans CJK SC" w:eastAsia="Noto Sans CJK SC"/>
                <w:b/>
                <w:color w:val="2D2D2D"/>
                <w:sz w:val="19"/>
              </w:rPr>
              <w:t>数据说明文档</w:t>
            </w:r>
          </w:p>
        </w:tc>
        <w:tc>
          <w:tcPr>
            <w:tcW w:w="381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7AC1CFD">
            <w:pPr>
              <w:spacing w:after="0" w:line="269" w:lineRule="auto"/>
            </w:pPr>
            <w:r>
              <w:rPr>
                <w:rFonts w:ascii="Noto Sans CJK SC" w:hAnsi="Noto Sans CJK SC" w:eastAsia="Noto Sans CJK SC"/>
                <w:b w:val="0"/>
                <w:color w:val="2D2D2D"/>
                <w:sz w:val="19"/>
              </w:rPr>
              <w:t>时相定义、shape、范围、MASK 语义、可用事件列表</w:t>
            </w:r>
          </w:p>
        </w:tc>
        <w:tc>
          <w:tcPr>
            <w:tcW w:w="3528"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2024613">
            <w:pPr>
              <w:spacing w:after="0" w:line="269" w:lineRule="auto"/>
              <w:jc w:val="center"/>
            </w:pPr>
            <w:r>
              <w:rPr>
                <w:rFonts w:ascii="Noto Sans CJK SC" w:hAnsi="Noto Sans CJK SC" w:eastAsia="Noto Sans CJK SC"/>
                <w:b w:val="0"/>
                <w:color w:val="2D2D2D"/>
                <w:sz w:val="19"/>
              </w:rPr>
              <w:t>正式项目文档的数据章节</w:t>
            </w:r>
          </w:p>
        </w:tc>
      </w:tr>
      <w:tr w14:paraId="7F56B64A">
        <w:tblPrEx>
          <w:tblCellMar>
            <w:top w:w="0" w:type="dxa"/>
            <w:left w:w="108" w:type="dxa"/>
            <w:bottom w:w="0" w:type="dxa"/>
            <w:right w:w="108" w:type="dxa"/>
          </w:tblCellMar>
        </w:tblPrEx>
        <w:trPr>
          <w:cantSplit/>
          <w:jc w:val="center"/>
        </w:trPr>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21954D9">
            <w:pPr>
              <w:spacing w:after="0" w:line="269" w:lineRule="auto"/>
            </w:pPr>
            <w:r>
              <w:rPr>
                <w:rFonts w:ascii="Noto Sans CJK SC" w:hAnsi="Noto Sans CJK SC" w:eastAsia="Noto Sans CJK SC"/>
                <w:b/>
                <w:color w:val="2D2D2D"/>
                <w:sz w:val="19"/>
              </w:rPr>
              <w:t>样本六联图</w:t>
            </w:r>
          </w:p>
        </w:tc>
        <w:tc>
          <w:tcPr>
            <w:tcW w:w="381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2D03EFC">
            <w:pPr>
              <w:spacing w:after="0" w:line="269" w:lineRule="auto"/>
              <w:jc w:val="center"/>
            </w:pPr>
            <w:r>
              <w:rPr>
                <w:rFonts w:ascii="Noto Sans CJK SC" w:hAnsi="Noto Sans CJK SC" w:eastAsia="Noto Sans CJK SC"/>
                <w:b w:val="0"/>
                <w:color w:val="2D2D2D"/>
                <w:sz w:val="19"/>
              </w:rPr>
              <w:t>≥20 个不同事件</w:t>
            </w:r>
          </w:p>
        </w:tc>
        <w:tc>
          <w:tcPr>
            <w:tcW w:w="3528"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032CC9E">
            <w:pPr>
              <w:spacing w:after="0" w:line="269" w:lineRule="auto"/>
              <w:jc w:val="center"/>
            </w:pPr>
            <w:r>
              <w:rPr>
                <w:rFonts w:ascii="Noto Sans CJK SC" w:hAnsi="Noto Sans CJK SC" w:eastAsia="Noto Sans CJK SC"/>
                <w:b w:val="0"/>
                <w:color w:val="2D2D2D"/>
                <w:sz w:val="19"/>
              </w:rPr>
              <w:t>作品视频与技术可行性材料</w:t>
            </w:r>
          </w:p>
        </w:tc>
      </w:tr>
      <w:tr w14:paraId="3EEC3ED9">
        <w:tblPrEx>
          <w:tblCellMar>
            <w:top w:w="0" w:type="dxa"/>
            <w:left w:w="108" w:type="dxa"/>
            <w:bottom w:w="0" w:type="dxa"/>
            <w:right w:w="108" w:type="dxa"/>
          </w:tblCellMar>
        </w:tblPrEx>
        <w:trPr>
          <w:cantSplit/>
          <w:jc w:val="center"/>
        </w:trPr>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2D279F8">
            <w:pPr>
              <w:spacing w:after="0" w:line="269" w:lineRule="auto"/>
            </w:pPr>
            <w:r>
              <w:rPr>
                <w:rFonts w:ascii="Noto Sans CJK SC" w:hAnsi="Noto Sans CJK SC" w:eastAsia="Noto Sans CJK SC"/>
                <w:b/>
                <w:color w:val="2D2D2D"/>
                <w:sz w:val="19"/>
              </w:rPr>
              <w:t>Baseline 模型</w:t>
            </w:r>
          </w:p>
        </w:tc>
        <w:tc>
          <w:tcPr>
            <w:tcW w:w="381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FCCE7C9">
            <w:pPr>
              <w:spacing w:after="0" w:line="269" w:lineRule="auto"/>
              <w:jc w:val="center"/>
            </w:pPr>
            <w:r>
              <w:rPr>
                <w:rFonts w:ascii="Noto Sans CJK SC" w:hAnsi="Noto Sans CJK SC" w:eastAsia="Noto Sans CJK SC"/>
                <w:b w:val="0"/>
                <w:color w:val="2D2D2D"/>
                <w:sz w:val="19"/>
              </w:rPr>
              <w:t>U-Net + 可复现配置</w:t>
            </w:r>
          </w:p>
        </w:tc>
        <w:tc>
          <w:tcPr>
            <w:tcW w:w="3528"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7FF73A1">
            <w:pPr>
              <w:spacing w:after="0" w:line="269" w:lineRule="auto"/>
              <w:jc w:val="center"/>
            </w:pPr>
            <w:r>
              <w:rPr>
                <w:rFonts w:ascii="Noto Sans CJK SC" w:hAnsi="Noto Sans CJK SC" w:eastAsia="Noto Sans CJK SC"/>
                <w:b w:val="0"/>
                <w:color w:val="2D2D2D"/>
                <w:sz w:val="19"/>
              </w:rPr>
              <w:t>建立性能下限</w:t>
            </w:r>
          </w:p>
        </w:tc>
      </w:tr>
      <w:tr w14:paraId="487D95B6">
        <w:tblPrEx>
          <w:tblCellMar>
            <w:top w:w="0" w:type="dxa"/>
            <w:left w:w="108" w:type="dxa"/>
            <w:bottom w:w="0" w:type="dxa"/>
            <w:right w:w="108" w:type="dxa"/>
          </w:tblCellMar>
        </w:tblPrEx>
        <w:trPr>
          <w:cantSplit/>
          <w:jc w:val="center"/>
        </w:trPr>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7CCC270">
            <w:pPr>
              <w:spacing w:after="0" w:line="269" w:lineRule="auto"/>
            </w:pPr>
            <w:r>
              <w:rPr>
                <w:rFonts w:ascii="Noto Sans CJK SC" w:hAnsi="Noto Sans CJK SC" w:eastAsia="Noto Sans CJK SC"/>
                <w:b/>
                <w:color w:val="2D2D2D"/>
                <w:sz w:val="19"/>
              </w:rPr>
              <w:t>消融实验表</w:t>
            </w:r>
          </w:p>
        </w:tc>
        <w:tc>
          <w:tcPr>
            <w:tcW w:w="381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7DA912D">
            <w:pPr>
              <w:spacing w:after="0" w:line="269" w:lineRule="auto"/>
              <w:jc w:val="center"/>
            </w:pPr>
            <w:r>
              <w:rPr>
                <w:rFonts w:ascii="Noto Sans CJK SC" w:hAnsi="Noto Sans CJK SC" w:eastAsia="Noto Sans CJK SC"/>
                <w:b w:val="0"/>
                <w:color w:val="2D2D2D"/>
                <w:sz w:val="19"/>
              </w:rPr>
              <w:t>至少 E0-E3</w:t>
            </w:r>
          </w:p>
        </w:tc>
        <w:tc>
          <w:tcPr>
            <w:tcW w:w="3528"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BE54BA4">
            <w:pPr>
              <w:spacing w:after="0" w:line="269" w:lineRule="auto"/>
            </w:pPr>
            <w:r>
              <w:rPr>
                <w:rFonts w:ascii="Noto Sans CJK SC" w:hAnsi="Noto Sans CJK SC" w:eastAsia="Noto Sans CJK SC"/>
                <w:b w:val="0"/>
                <w:color w:val="2D2D2D"/>
                <w:sz w:val="19"/>
              </w:rPr>
              <w:t>证明 SAR 时相和 DEM 的价值</w:t>
            </w:r>
          </w:p>
        </w:tc>
      </w:tr>
      <w:tr w14:paraId="07977ADD">
        <w:tblPrEx>
          <w:tblCellMar>
            <w:top w:w="0" w:type="dxa"/>
            <w:left w:w="108" w:type="dxa"/>
            <w:bottom w:w="0" w:type="dxa"/>
            <w:right w:w="108" w:type="dxa"/>
          </w:tblCellMar>
        </w:tblPrEx>
        <w:trPr>
          <w:cantSplit/>
          <w:jc w:val="center"/>
        </w:trPr>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1EE83C7">
            <w:pPr>
              <w:spacing w:after="0" w:line="269" w:lineRule="auto"/>
            </w:pPr>
            <w:r>
              <w:rPr>
                <w:rFonts w:ascii="Noto Sans CJK SC" w:hAnsi="Noto Sans CJK SC" w:eastAsia="Noto Sans CJK SC"/>
                <w:b/>
                <w:color w:val="2D2D2D"/>
                <w:sz w:val="19"/>
              </w:rPr>
              <w:t>预测可视化</w:t>
            </w:r>
          </w:p>
        </w:tc>
        <w:tc>
          <w:tcPr>
            <w:tcW w:w="381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A6D0675">
            <w:pPr>
              <w:spacing w:after="0" w:line="269" w:lineRule="auto"/>
              <w:jc w:val="center"/>
            </w:pPr>
            <w:r>
              <w:rPr>
                <w:rFonts w:ascii="Noto Sans CJK SC" w:hAnsi="Noto Sans CJK SC" w:eastAsia="Noto Sans CJK SC"/>
                <w:b w:val="0"/>
                <w:color w:val="2D2D2D"/>
                <w:sz w:val="19"/>
              </w:rPr>
              <w:t>≥20 组典型结果</w:t>
            </w:r>
          </w:p>
        </w:tc>
        <w:tc>
          <w:tcPr>
            <w:tcW w:w="3528"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C5B3F54">
            <w:pPr>
              <w:spacing w:after="0" w:line="269" w:lineRule="auto"/>
              <w:jc w:val="center"/>
            </w:pPr>
            <w:r>
              <w:rPr>
                <w:rFonts w:ascii="Noto Sans CJK SC" w:hAnsi="Noto Sans CJK SC" w:eastAsia="Noto Sans CJK SC"/>
                <w:b w:val="0"/>
                <w:color w:val="2D2D2D"/>
                <w:sz w:val="19"/>
              </w:rPr>
              <w:t>视频核心画面</w:t>
            </w:r>
          </w:p>
        </w:tc>
      </w:tr>
      <w:tr w14:paraId="79BAB264">
        <w:tblPrEx>
          <w:tblCellMar>
            <w:top w:w="0" w:type="dxa"/>
            <w:left w:w="108" w:type="dxa"/>
            <w:bottom w:w="0" w:type="dxa"/>
            <w:right w:w="108" w:type="dxa"/>
          </w:tblCellMar>
        </w:tblPrEx>
        <w:trPr>
          <w:cantSplit/>
          <w:jc w:val="center"/>
        </w:trPr>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A07D246">
            <w:pPr>
              <w:spacing w:after="0" w:line="269" w:lineRule="auto"/>
            </w:pPr>
            <w:r>
              <w:rPr>
                <w:rFonts w:ascii="Noto Sans CJK SC" w:hAnsi="Noto Sans CJK SC" w:eastAsia="Noto Sans CJK SC"/>
                <w:b/>
                <w:color w:val="2D2D2D"/>
                <w:sz w:val="19"/>
              </w:rPr>
              <w:t>严重度生成脚本</w:t>
            </w:r>
          </w:p>
        </w:tc>
        <w:tc>
          <w:tcPr>
            <w:tcW w:w="381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BF491DE">
            <w:pPr>
              <w:spacing w:after="0" w:line="269" w:lineRule="auto"/>
              <w:jc w:val="center"/>
            </w:pPr>
            <w:r>
              <w:rPr>
                <w:rFonts w:ascii="Noto Sans CJK SC" w:hAnsi="Noto Sans CJK SC" w:eastAsia="Noto Sans CJK SC"/>
                <w:b w:val="0"/>
                <w:color w:val="2D2D2D"/>
                <w:sz w:val="19"/>
              </w:rPr>
              <w:t>事件级面积与三级规则</w:t>
            </w:r>
          </w:p>
        </w:tc>
        <w:tc>
          <w:tcPr>
            <w:tcW w:w="3528"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EAE5F34">
            <w:pPr>
              <w:spacing w:after="0" w:line="269" w:lineRule="auto"/>
              <w:jc w:val="center"/>
            </w:pPr>
            <w:r>
              <w:rPr>
                <w:rFonts w:ascii="Noto Sans CJK SC" w:hAnsi="Noto Sans CJK SC" w:eastAsia="Noto Sans CJK SC"/>
                <w:b w:val="0"/>
                <w:color w:val="2D2D2D"/>
                <w:sz w:val="19"/>
              </w:rPr>
              <w:t>后续双任务/应用展示</w:t>
            </w:r>
          </w:p>
        </w:tc>
      </w:tr>
      <w:tr w14:paraId="1BB07689">
        <w:tblPrEx>
          <w:tblCellMar>
            <w:top w:w="0" w:type="dxa"/>
            <w:left w:w="108" w:type="dxa"/>
            <w:bottom w:w="0" w:type="dxa"/>
            <w:right w:w="108" w:type="dxa"/>
          </w:tblCellMar>
        </w:tblPrEx>
        <w:trPr>
          <w:cantSplit/>
          <w:jc w:val="center"/>
        </w:trPr>
        <w:tc>
          <w:tcPr>
            <w:tcW w:w="2232"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843D05D">
            <w:pPr>
              <w:spacing w:after="0" w:line="269" w:lineRule="auto"/>
            </w:pPr>
            <w:r>
              <w:rPr>
                <w:rFonts w:ascii="Noto Sans CJK SC" w:hAnsi="Noto Sans CJK SC" w:eastAsia="Noto Sans CJK SC"/>
                <w:b/>
                <w:color w:val="2D2D2D"/>
                <w:sz w:val="19"/>
              </w:rPr>
              <w:t>路线决策记录</w:t>
            </w:r>
          </w:p>
        </w:tc>
        <w:tc>
          <w:tcPr>
            <w:tcW w:w="381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AC9E327">
            <w:pPr>
              <w:spacing w:after="0" w:line="269" w:lineRule="auto"/>
              <w:jc w:val="center"/>
            </w:pPr>
            <w:r>
              <w:rPr>
                <w:rFonts w:ascii="Noto Sans CJK SC" w:hAnsi="Noto Sans CJK SC" w:eastAsia="Noto Sans CJK SC"/>
                <w:b w:val="0"/>
                <w:color w:val="2D2D2D"/>
                <w:sz w:val="19"/>
              </w:rPr>
              <w:t>A/B/C 三种结论之一</w:t>
            </w:r>
          </w:p>
        </w:tc>
        <w:tc>
          <w:tcPr>
            <w:tcW w:w="3528"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BE345C1">
            <w:pPr>
              <w:spacing w:after="0" w:line="269" w:lineRule="auto"/>
              <w:jc w:val="center"/>
            </w:pPr>
            <w:r>
              <w:rPr>
                <w:rFonts w:ascii="Noto Sans CJK SC" w:hAnsi="Noto Sans CJK SC" w:eastAsia="Noto Sans CJK SC"/>
                <w:b w:val="0"/>
                <w:color w:val="2D2D2D"/>
                <w:sz w:val="19"/>
              </w:rPr>
              <w:t>决定最终题名与第二阶段模型</w:t>
            </w:r>
          </w:p>
        </w:tc>
      </w:tr>
    </w:tbl>
    <w:p w14:paraId="0FF40C1E">
      <w:pPr>
        <w:keepNext/>
        <w:spacing w:before="240" w:after="140"/>
      </w:pPr>
      <w:r>
        <w:rPr>
          <w:rFonts w:ascii="Noto Sans CJK SC" w:hAnsi="Noto Sans CJK SC" w:eastAsia="Noto Sans CJK SC"/>
          <w:b/>
          <w:color w:val="1C4874"/>
          <w:sz w:val="32"/>
        </w:rPr>
        <w:t>十、风险与应对</w:t>
      </w:r>
    </w:p>
    <w:tbl>
      <w:tblPr>
        <w:tblStyle w:val="32"/>
        <w:tblW w:w="0" w:type="auto"/>
        <w:jc w:val="center"/>
        <w:tblLayout w:type="fixed"/>
        <w:tblCellMar>
          <w:top w:w="0" w:type="dxa"/>
          <w:left w:w="108" w:type="dxa"/>
          <w:bottom w:w="0" w:type="dxa"/>
          <w:right w:w="108" w:type="dxa"/>
        </w:tblCellMar>
      </w:tblPr>
      <w:tblGrid>
        <w:gridCol w:w="3331"/>
        <w:gridCol w:w="3331"/>
        <w:gridCol w:w="3331"/>
      </w:tblGrid>
      <w:tr w14:paraId="01CB9270">
        <w:tblPrEx>
          <w:tblCellMar>
            <w:top w:w="0" w:type="dxa"/>
            <w:left w:w="108" w:type="dxa"/>
            <w:bottom w:w="0" w:type="dxa"/>
            <w:right w:w="108" w:type="dxa"/>
          </w:tblCellMar>
        </w:tblPrEx>
        <w:trPr>
          <w:cantSplit/>
          <w:tblHeader/>
          <w:jc w:val="center"/>
        </w:trPr>
        <w:tc>
          <w:tcPr>
            <w:tcW w:w="2376"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61CBD29E">
            <w:pPr>
              <w:spacing w:after="0" w:line="269" w:lineRule="auto"/>
            </w:pPr>
            <w:r>
              <w:rPr>
                <w:rFonts w:ascii="Noto Sans CJK SC" w:hAnsi="Noto Sans CJK SC" w:eastAsia="Noto Sans CJK SC"/>
                <w:b/>
                <w:color w:val="1F4E79"/>
                <w:sz w:val="19"/>
              </w:rPr>
              <w:t>风险</w:t>
            </w:r>
          </w:p>
        </w:tc>
        <w:tc>
          <w:tcPr>
            <w:tcW w:w="2520"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3A6D306F">
            <w:pPr>
              <w:spacing w:after="0" w:line="269" w:lineRule="auto"/>
              <w:jc w:val="center"/>
            </w:pPr>
            <w:r>
              <w:rPr>
                <w:rFonts w:ascii="Noto Sans CJK SC" w:hAnsi="Noto Sans CJK SC" w:eastAsia="Noto Sans CJK SC"/>
                <w:b/>
                <w:color w:val="1F4E79"/>
                <w:sz w:val="19"/>
              </w:rPr>
              <w:t>影响</w:t>
            </w:r>
          </w:p>
        </w:tc>
        <w:tc>
          <w:tcPr>
            <w:tcW w:w="4680" w:type="dxa"/>
            <w:tcBorders>
              <w:top w:val="single" w:color="C6D4E1" w:sz="4" w:space="0"/>
              <w:left w:val="single" w:color="C6D4E1" w:sz="4" w:space="0"/>
              <w:bottom w:val="single" w:color="C6D4E1" w:sz="4" w:space="0"/>
              <w:right w:val="single" w:color="C6D4E1" w:sz="4" w:space="0"/>
            </w:tcBorders>
            <w:shd w:val="clear" w:color="auto" w:fill="D9EAF7"/>
            <w:tcMar>
              <w:top w:w="90" w:type="dxa"/>
              <w:left w:w="100" w:type="dxa"/>
              <w:bottom w:w="90" w:type="dxa"/>
              <w:right w:w="100" w:type="dxa"/>
            </w:tcMar>
            <w:vAlign w:val="center"/>
          </w:tcPr>
          <w:p w14:paraId="3B66D2E3">
            <w:pPr>
              <w:spacing w:after="0" w:line="269" w:lineRule="auto"/>
              <w:jc w:val="center"/>
            </w:pPr>
            <w:r>
              <w:rPr>
                <w:rFonts w:ascii="Noto Sans CJK SC" w:hAnsi="Noto Sans CJK SC" w:eastAsia="Noto Sans CJK SC"/>
                <w:b/>
                <w:color w:val="1F4E79"/>
                <w:sz w:val="19"/>
              </w:rPr>
              <w:t>处理策略</w:t>
            </w:r>
          </w:p>
        </w:tc>
      </w:tr>
      <w:tr w14:paraId="3C156313">
        <w:tblPrEx>
          <w:tblCellMar>
            <w:top w:w="0" w:type="dxa"/>
            <w:left w:w="108" w:type="dxa"/>
            <w:bottom w:w="0" w:type="dxa"/>
            <w:right w:w="108" w:type="dxa"/>
          </w:tblCellMar>
        </w:tblPrEx>
        <w:trPr>
          <w:cantSplit/>
          <w:jc w:val="center"/>
        </w:trPr>
        <w:tc>
          <w:tcPr>
            <w:tcW w:w="237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A883AE8">
            <w:pPr>
              <w:spacing w:after="0" w:line="269" w:lineRule="auto"/>
            </w:pPr>
            <w:r>
              <w:rPr>
                <w:rFonts w:ascii="Noto Sans CJK SC" w:hAnsi="Noto Sans CJK SC" w:eastAsia="Noto Sans CJK SC"/>
                <w:b/>
                <w:color w:val="2D2D2D"/>
                <w:sz w:val="19"/>
              </w:rPr>
              <w:t>MASK 不是后期真值</w:t>
            </w:r>
          </w:p>
        </w:tc>
        <w:tc>
          <w:tcPr>
            <w:tcW w:w="252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E37F594">
            <w:pPr>
              <w:spacing w:after="0" w:line="269" w:lineRule="auto"/>
              <w:jc w:val="center"/>
            </w:pPr>
            <w:r>
              <w:rPr>
                <w:rFonts w:ascii="Noto Sans CJK SC" w:hAnsi="Noto Sans CJK SC" w:eastAsia="Noto Sans CJK SC"/>
                <w:b w:val="0"/>
                <w:color w:val="2D2D2D"/>
                <w:sz w:val="19"/>
              </w:rPr>
              <w:t>无法直接做未来预测</w:t>
            </w:r>
          </w:p>
        </w:tc>
        <w:tc>
          <w:tcPr>
            <w:tcW w:w="46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5353A842">
            <w:pPr>
              <w:spacing w:after="0" w:line="269" w:lineRule="auto"/>
            </w:pPr>
            <w:r>
              <w:rPr>
                <w:rFonts w:ascii="Noto Sans CJK SC" w:hAnsi="Noto Sans CJK SC" w:eastAsia="Noto Sans CJK SC"/>
                <w:b w:val="0"/>
                <w:color w:val="2D2D2D"/>
                <w:sz w:val="19"/>
              </w:rPr>
              <w:t>先完成评估 baseline；筛选有时间关系的事件或后续补标签</w:t>
            </w:r>
          </w:p>
        </w:tc>
      </w:tr>
      <w:tr w14:paraId="2CBDA274">
        <w:tblPrEx>
          <w:tblCellMar>
            <w:top w:w="0" w:type="dxa"/>
            <w:left w:w="108" w:type="dxa"/>
            <w:bottom w:w="0" w:type="dxa"/>
            <w:right w:w="108" w:type="dxa"/>
          </w:tblCellMar>
        </w:tblPrEx>
        <w:trPr>
          <w:cantSplit/>
          <w:jc w:val="center"/>
        </w:trPr>
        <w:tc>
          <w:tcPr>
            <w:tcW w:w="237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4488FB2">
            <w:pPr>
              <w:spacing w:after="0" w:line="269" w:lineRule="auto"/>
            </w:pPr>
            <w:r>
              <w:rPr>
                <w:rFonts w:ascii="Noto Sans CJK SC" w:hAnsi="Noto Sans CJK SC" w:eastAsia="Noto Sans CJK SC"/>
                <w:b/>
                <w:color w:val="2D2D2D"/>
                <w:sz w:val="19"/>
              </w:rPr>
              <w:t>不同事件时相间隔差异大</w:t>
            </w:r>
          </w:p>
        </w:tc>
        <w:tc>
          <w:tcPr>
            <w:tcW w:w="252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6DCA109">
            <w:pPr>
              <w:spacing w:after="0" w:line="269" w:lineRule="auto"/>
              <w:jc w:val="center"/>
            </w:pPr>
            <w:r>
              <w:rPr>
                <w:rFonts w:ascii="Noto Sans CJK SC" w:hAnsi="Noto Sans CJK SC" w:eastAsia="Noto Sans CJK SC"/>
                <w:b w:val="0"/>
                <w:color w:val="2D2D2D"/>
                <w:sz w:val="19"/>
              </w:rPr>
              <w:t>预测目标不统一</w:t>
            </w:r>
          </w:p>
        </w:tc>
        <w:tc>
          <w:tcPr>
            <w:tcW w:w="46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E6FF472">
            <w:pPr>
              <w:spacing w:after="0" w:line="269" w:lineRule="auto"/>
            </w:pPr>
            <w:r>
              <w:rPr>
                <w:rFonts w:ascii="Noto Sans CJK SC" w:hAnsi="Noto Sans CJK SC" w:eastAsia="Noto Sans CJK SC"/>
                <w:b w:val="0"/>
                <w:color w:val="2D2D2D"/>
                <w:sz w:val="19"/>
              </w:rPr>
              <w:t>记录实际时间差，分组实验或限定子集</w:t>
            </w:r>
          </w:p>
        </w:tc>
      </w:tr>
      <w:tr w14:paraId="435DB501">
        <w:tblPrEx>
          <w:tblCellMar>
            <w:top w:w="0" w:type="dxa"/>
            <w:left w:w="108" w:type="dxa"/>
            <w:bottom w:w="0" w:type="dxa"/>
            <w:right w:w="108" w:type="dxa"/>
          </w:tblCellMar>
        </w:tblPrEx>
        <w:trPr>
          <w:cantSplit/>
          <w:jc w:val="center"/>
        </w:trPr>
        <w:tc>
          <w:tcPr>
            <w:tcW w:w="237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50030C5">
            <w:pPr>
              <w:spacing w:after="0" w:line="269" w:lineRule="auto"/>
            </w:pPr>
            <w:r>
              <w:rPr>
                <w:rFonts w:ascii="Noto Sans CJK SC" w:hAnsi="Noto Sans CJK SC" w:eastAsia="Noto Sans CJK SC"/>
                <w:b/>
                <w:color w:val="2D2D2D"/>
                <w:sz w:val="19"/>
              </w:rPr>
              <w:t>类别极不平衡</w:t>
            </w:r>
          </w:p>
        </w:tc>
        <w:tc>
          <w:tcPr>
            <w:tcW w:w="252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49E834F">
            <w:pPr>
              <w:spacing w:after="0" w:line="269" w:lineRule="auto"/>
              <w:jc w:val="center"/>
            </w:pPr>
            <w:r>
              <w:rPr>
                <w:rFonts w:ascii="Noto Sans CJK SC" w:hAnsi="Noto Sans CJK SC" w:eastAsia="Noto Sans CJK SC"/>
                <w:b w:val="0"/>
                <w:color w:val="2D2D2D"/>
                <w:sz w:val="19"/>
              </w:rPr>
              <w:t>Accuracy 虚高</w:t>
            </w:r>
          </w:p>
        </w:tc>
        <w:tc>
          <w:tcPr>
            <w:tcW w:w="46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65153EA">
            <w:pPr>
              <w:spacing w:after="0" w:line="269" w:lineRule="auto"/>
            </w:pPr>
            <w:r>
              <w:rPr>
                <w:rFonts w:ascii="Noto Sans CJK SC" w:hAnsi="Noto Sans CJK SC" w:eastAsia="Noto Sans CJK SC"/>
                <w:b w:val="0"/>
                <w:color w:val="2D2D2D"/>
                <w:sz w:val="19"/>
              </w:rPr>
              <w:t>以 IoU/Dice/F1 为主，使用 Dice/BCE 等损失</w:t>
            </w:r>
          </w:p>
        </w:tc>
      </w:tr>
      <w:tr w14:paraId="469A0894">
        <w:tblPrEx>
          <w:tblCellMar>
            <w:top w:w="0" w:type="dxa"/>
            <w:left w:w="108" w:type="dxa"/>
            <w:bottom w:w="0" w:type="dxa"/>
            <w:right w:w="108" w:type="dxa"/>
          </w:tblCellMar>
        </w:tblPrEx>
        <w:trPr>
          <w:cantSplit/>
          <w:jc w:val="center"/>
        </w:trPr>
        <w:tc>
          <w:tcPr>
            <w:tcW w:w="237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E8CD4CF">
            <w:pPr>
              <w:spacing w:after="0" w:line="269" w:lineRule="auto"/>
            </w:pPr>
            <w:r>
              <w:rPr>
                <w:rFonts w:ascii="Noto Sans CJK SC" w:hAnsi="Noto Sans CJK SC" w:eastAsia="Noto Sans CJK SC"/>
                <w:b/>
                <w:color w:val="2D2D2D"/>
                <w:sz w:val="19"/>
              </w:rPr>
              <w:t>DEM 对结果提升不明显</w:t>
            </w:r>
          </w:p>
        </w:tc>
        <w:tc>
          <w:tcPr>
            <w:tcW w:w="252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F4BC0DE">
            <w:pPr>
              <w:spacing w:after="0" w:line="269" w:lineRule="auto"/>
              <w:jc w:val="center"/>
            </w:pPr>
            <w:r>
              <w:rPr>
                <w:rFonts w:ascii="Noto Sans CJK SC" w:hAnsi="Noto Sans CJK SC" w:eastAsia="Noto Sans CJK SC"/>
                <w:b w:val="0"/>
                <w:color w:val="2D2D2D"/>
                <w:sz w:val="19"/>
              </w:rPr>
              <w:t>“地形先验”卖点变弱</w:t>
            </w:r>
          </w:p>
        </w:tc>
        <w:tc>
          <w:tcPr>
            <w:tcW w:w="46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18B3227D">
            <w:pPr>
              <w:spacing w:after="0" w:line="269" w:lineRule="auto"/>
            </w:pPr>
            <w:r>
              <w:rPr>
                <w:rFonts w:ascii="Noto Sans CJK SC" w:hAnsi="Noto Sans CJK SC" w:eastAsia="Noto Sans CJK SC"/>
                <w:b w:val="0"/>
                <w:color w:val="2D2D2D"/>
                <w:sz w:val="19"/>
              </w:rPr>
              <w:t>检查归一化/对齐；做双分支融合；如仍无效则如实降级</w:t>
            </w:r>
          </w:p>
        </w:tc>
      </w:tr>
      <w:tr w14:paraId="7D48245F">
        <w:tblPrEx>
          <w:tblCellMar>
            <w:top w:w="0" w:type="dxa"/>
            <w:left w:w="108" w:type="dxa"/>
            <w:bottom w:w="0" w:type="dxa"/>
            <w:right w:w="108" w:type="dxa"/>
          </w:tblCellMar>
        </w:tblPrEx>
        <w:trPr>
          <w:cantSplit/>
          <w:jc w:val="center"/>
        </w:trPr>
        <w:tc>
          <w:tcPr>
            <w:tcW w:w="237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232811F3">
            <w:pPr>
              <w:spacing w:after="0" w:line="269" w:lineRule="auto"/>
            </w:pPr>
            <w:r>
              <w:rPr>
                <w:rFonts w:ascii="Noto Sans CJK SC" w:hAnsi="Noto Sans CJK SC" w:eastAsia="Noto Sans CJK SC"/>
                <w:b/>
                <w:color w:val="2D2D2D"/>
                <w:sz w:val="19"/>
              </w:rPr>
              <w:t>模型直接学习事件地域特征</w:t>
            </w:r>
          </w:p>
        </w:tc>
        <w:tc>
          <w:tcPr>
            <w:tcW w:w="252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738327F4">
            <w:pPr>
              <w:spacing w:after="0" w:line="269" w:lineRule="auto"/>
              <w:jc w:val="center"/>
            </w:pPr>
            <w:r>
              <w:rPr>
                <w:rFonts w:ascii="Noto Sans CJK SC" w:hAnsi="Noto Sans CJK SC" w:eastAsia="Noto Sans CJK SC"/>
                <w:b w:val="0"/>
                <w:color w:val="2D2D2D"/>
                <w:sz w:val="19"/>
              </w:rPr>
              <w:t>泛化性差</w:t>
            </w:r>
          </w:p>
        </w:tc>
        <w:tc>
          <w:tcPr>
            <w:tcW w:w="46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C6798FB">
            <w:pPr>
              <w:spacing w:after="0" w:line="269" w:lineRule="auto"/>
            </w:pPr>
            <w:r>
              <w:rPr>
                <w:rFonts w:ascii="Noto Sans CJK SC" w:hAnsi="Noto Sans CJK SC" w:eastAsia="Noto Sans CJK SC"/>
                <w:b w:val="0"/>
                <w:color w:val="2D2D2D"/>
                <w:sz w:val="19"/>
              </w:rPr>
              <w:t>尽量按事件划分 train/val/test，避免同一事件泄漏到不同 split</w:t>
            </w:r>
          </w:p>
        </w:tc>
      </w:tr>
      <w:tr w14:paraId="5B5FB895">
        <w:tblPrEx>
          <w:tblCellMar>
            <w:top w:w="0" w:type="dxa"/>
            <w:left w:w="108" w:type="dxa"/>
            <w:bottom w:w="0" w:type="dxa"/>
            <w:right w:w="108" w:type="dxa"/>
          </w:tblCellMar>
        </w:tblPrEx>
        <w:trPr>
          <w:cantSplit/>
          <w:jc w:val="center"/>
        </w:trPr>
        <w:tc>
          <w:tcPr>
            <w:tcW w:w="2376"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09BAD14D">
            <w:pPr>
              <w:spacing w:after="0" w:line="269" w:lineRule="auto"/>
            </w:pPr>
            <w:r>
              <w:rPr>
                <w:rFonts w:ascii="Noto Sans CJK SC" w:hAnsi="Noto Sans CJK SC" w:eastAsia="Noto Sans CJK SC"/>
                <w:b/>
                <w:color w:val="2D2D2D"/>
                <w:sz w:val="19"/>
              </w:rPr>
              <w:t>一开始模型过于复杂</w:t>
            </w:r>
          </w:p>
        </w:tc>
        <w:tc>
          <w:tcPr>
            <w:tcW w:w="252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33B89832">
            <w:pPr>
              <w:spacing w:after="0" w:line="269" w:lineRule="auto"/>
              <w:jc w:val="center"/>
            </w:pPr>
            <w:r>
              <w:rPr>
                <w:rFonts w:ascii="Noto Sans CJK SC" w:hAnsi="Noto Sans CJK SC" w:eastAsia="Noto Sans CJK SC"/>
                <w:b w:val="0"/>
                <w:color w:val="2D2D2D"/>
                <w:sz w:val="19"/>
              </w:rPr>
              <w:t>调试成本高且难定位问题</w:t>
            </w:r>
          </w:p>
        </w:tc>
        <w:tc>
          <w:tcPr>
            <w:tcW w:w="4680" w:type="dxa"/>
            <w:tcBorders>
              <w:top w:val="single" w:color="C6D4E1" w:sz="4" w:space="0"/>
              <w:left w:val="single" w:color="C6D4E1" w:sz="4" w:space="0"/>
              <w:bottom w:val="single" w:color="C6D4E1" w:sz="4" w:space="0"/>
              <w:right w:val="single" w:color="C6D4E1" w:sz="4" w:space="0"/>
            </w:tcBorders>
            <w:tcMar>
              <w:top w:w="90" w:type="dxa"/>
              <w:left w:w="100" w:type="dxa"/>
              <w:bottom w:w="90" w:type="dxa"/>
              <w:right w:w="100" w:type="dxa"/>
            </w:tcMar>
            <w:vAlign w:val="center"/>
          </w:tcPr>
          <w:p w14:paraId="6983A782">
            <w:pPr>
              <w:spacing w:after="0" w:line="269" w:lineRule="auto"/>
            </w:pPr>
            <w:r>
              <w:rPr>
                <w:rFonts w:ascii="Noto Sans CJK SC" w:hAnsi="Noto Sans CJK SC" w:eastAsia="Noto Sans CJK SC"/>
                <w:b w:val="0"/>
                <w:color w:val="2D2D2D"/>
                <w:sz w:val="19"/>
              </w:rPr>
              <w:t>严格按 V0→V1→V2→V3 顺序推进</w:t>
            </w:r>
          </w:p>
        </w:tc>
      </w:tr>
    </w:tbl>
    <w:p w14:paraId="2A7CFD87">
      <w:pPr>
        <w:keepNext/>
        <w:spacing w:before="240" w:after="140"/>
      </w:pPr>
      <w:r>
        <w:rPr>
          <w:rFonts w:ascii="Noto Sans CJK SC" w:hAnsi="Noto Sans CJK SC" w:eastAsia="Noto Sans CJK SC"/>
          <w:b/>
          <w:color w:val="1C4874"/>
          <w:sz w:val="32"/>
        </w:rPr>
        <w:t>十</w:t>
      </w:r>
      <w:r>
        <w:rPr>
          <w:rFonts w:hint="eastAsia" w:eastAsia="宋体"/>
          <w:b/>
          <w:color w:val="1C4874"/>
          <w:sz w:val="32"/>
          <w:lang w:val="en-US" w:eastAsia="zh-CN"/>
        </w:rPr>
        <w:t>一</w:t>
      </w:r>
      <w:r>
        <w:rPr>
          <w:rFonts w:ascii="Noto Sans CJK SC" w:hAnsi="Noto Sans CJK SC" w:eastAsia="Noto Sans CJK SC"/>
          <w:b/>
          <w:color w:val="1C4874"/>
          <w:sz w:val="32"/>
        </w:rPr>
        <w:t>、第二阶段升级方向（暂不实施）</w:t>
      </w:r>
    </w:p>
    <w:p w14:paraId="0AB9B16F">
      <w:pPr>
        <w:spacing w:after="120" w:line="300" w:lineRule="auto"/>
        <w:ind w:firstLine="440"/>
      </w:pPr>
      <w:r>
        <w:rPr>
          <w:rFonts w:ascii="Noto Sans CJK SC" w:hAnsi="Noto Sans CJK SC" w:eastAsia="Noto Sans CJK SC"/>
          <w:b w:val="0"/>
          <w:i w:val="0"/>
          <w:color w:val="222222"/>
          <w:sz w:val="22"/>
        </w:rPr>
        <w:t>只有阶段一完成后再选择以下升级项，避免同时开太多技术分支。</w:t>
      </w:r>
    </w:p>
    <w:p w14:paraId="15F9C5A2">
      <w:pPr>
        <w:pStyle w:val="16"/>
        <w:spacing w:after="60" w:line="288" w:lineRule="auto"/>
      </w:pPr>
      <w:r>
        <w:rPr>
          <w:rFonts w:ascii="Noto Sans CJK SC" w:hAnsi="Noto Sans CJK SC" w:eastAsia="Noto Sans CJK SC"/>
          <w:color w:val="222222"/>
          <w:sz w:val="22"/>
        </w:rPr>
        <w:t>预测任务成立后：引入 Siamese 编码器、显式时相差异特征或 Cross-Attention。</w:t>
      </w:r>
    </w:p>
    <w:p w14:paraId="3AF68CC6">
      <w:pPr>
        <w:pStyle w:val="16"/>
        <w:spacing w:after="60" w:line="288" w:lineRule="auto"/>
      </w:pPr>
      <w:r>
        <w:rPr>
          <w:rFonts w:ascii="Noto Sans CJK SC" w:hAnsi="Noto Sans CJK SC" w:eastAsia="Noto Sans CJK SC"/>
          <w:color w:val="222222"/>
          <w:sz w:val="22"/>
        </w:rPr>
        <w:t>空间范围预测稳定后：增加事件级严重度分类 Head，形成多任务学习。</w:t>
      </w:r>
    </w:p>
    <w:p w14:paraId="7A9C6266">
      <w:pPr>
        <w:pStyle w:val="16"/>
        <w:spacing w:after="60" w:line="288" w:lineRule="auto"/>
      </w:pPr>
      <w:r>
        <w:rPr>
          <w:rFonts w:ascii="Noto Sans CJK SC" w:hAnsi="Noto Sans CJK SC" w:eastAsia="Noto Sans CJK SC"/>
          <w:color w:val="222222"/>
          <w:sz w:val="22"/>
        </w:rPr>
        <w:t>SAR + DEM 已验证后：再考虑引入降雨、土壤湿度等动态信息。</w:t>
      </w:r>
    </w:p>
    <w:p w14:paraId="60642372">
      <w:pPr>
        <w:pStyle w:val="16"/>
        <w:spacing w:after="60" w:line="288" w:lineRule="auto"/>
      </w:pPr>
      <w:r>
        <w:rPr>
          <w:rFonts w:ascii="Noto Sans CJK SC" w:hAnsi="Noto Sans CJK SC" w:eastAsia="Noto Sans CJK SC"/>
          <w:color w:val="222222"/>
          <w:sz w:val="22"/>
        </w:rPr>
        <w:t>Baseline 足够可靠后：尝试 TerraMind 等遥感基础模型，并与 U-Net 做公平比较。</w:t>
      </w:r>
    </w:p>
    <w:p w14:paraId="66B8B922">
      <w:pPr>
        <w:pStyle w:val="16"/>
        <w:spacing w:after="60" w:line="288" w:lineRule="auto"/>
      </w:pPr>
      <w:r>
        <w:rPr>
          <w:rFonts w:ascii="Noto Sans CJK SC" w:hAnsi="Noto Sans CJK SC" w:eastAsia="Noto Sans CJK SC"/>
          <w:color w:val="222222"/>
          <w:sz w:val="22"/>
        </w:rPr>
        <w:t>参赛展示阶段：开发轻量 Web Demo，展示输入影像、预测洪水范围、事件级严重度与真实标签对比。</w:t>
      </w:r>
    </w:p>
    <w:p w14:paraId="603395A6">
      <w:pPr>
        <w:keepNext/>
        <w:spacing w:before="240" w:after="140"/>
      </w:pPr>
      <w:r>
        <w:rPr>
          <w:rFonts w:ascii="Noto Sans CJK SC" w:hAnsi="Noto Sans CJK SC" w:eastAsia="Noto Sans CJK SC"/>
          <w:b/>
          <w:color w:val="1C4874"/>
          <w:sz w:val="32"/>
        </w:rPr>
        <w:t>十</w:t>
      </w:r>
      <w:r>
        <w:rPr>
          <w:rFonts w:hint="eastAsia" w:eastAsia="宋体"/>
          <w:b/>
          <w:color w:val="1C4874"/>
          <w:sz w:val="32"/>
          <w:lang w:val="en-US" w:eastAsia="zh-CN"/>
        </w:rPr>
        <w:t>二</w:t>
      </w:r>
      <w:bookmarkStart w:id="0" w:name="_GoBack"/>
      <w:bookmarkEnd w:id="0"/>
      <w:r>
        <w:rPr>
          <w:rFonts w:ascii="Noto Sans CJK SC" w:hAnsi="Noto Sans CJK SC" w:eastAsia="Noto Sans CJK SC"/>
          <w:b/>
          <w:color w:val="1C4874"/>
          <w:sz w:val="32"/>
        </w:rPr>
        <w:t>、参考数据与官方资源</w:t>
      </w:r>
    </w:p>
    <w:p w14:paraId="755FBA69">
      <w:pPr>
        <w:spacing w:after="80"/>
        <w:ind w:left="160" w:hanging="40"/>
      </w:pPr>
      <w:r>
        <w:rPr>
          <w:rFonts w:ascii="Noto Sans CJK SC" w:hAnsi="Noto Sans CJK SC" w:eastAsia="Noto Sans CJK SC"/>
          <w:color w:val="2D2D2D"/>
          <w:sz w:val="21"/>
        </w:rPr>
        <w:t>1.  ImpactMesh 官方 GitHub：IBM/ImpactMesh。用于数据加载、训练配置与 TerraTorch 示例。</w:t>
      </w:r>
    </w:p>
    <w:p w14:paraId="7E51847B">
      <w:pPr>
        <w:spacing w:after="80"/>
        <w:ind w:left="160" w:hanging="40"/>
      </w:pPr>
      <w:r>
        <w:rPr>
          <w:rFonts w:ascii="Noto Sans CJK SC" w:hAnsi="Noto Sans CJK SC" w:eastAsia="Noto Sans CJK SC"/>
          <w:color w:val="2D2D2D"/>
          <w:sz w:val="21"/>
        </w:rPr>
        <w:t>2.  ImpactMesh-Flood 官方 Hugging Face 数据卡：ibm-esa-geospatial/ImpactMesh-Flood。用于数据下载、时相说明与许可信息。</w:t>
      </w:r>
    </w:p>
    <w:p w14:paraId="5CD6AF00">
      <w:pPr>
        <w:spacing w:after="80"/>
        <w:ind w:left="160" w:hanging="40"/>
      </w:pPr>
      <w:r>
        <w:rPr>
          <w:rFonts w:ascii="Noto Sans CJK SC" w:hAnsi="Noto Sans CJK SC" w:eastAsia="Noto Sans CJK SC"/>
          <w:color w:val="2D2D2D"/>
          <w:sz w:val="21"/>
        </w:rPr>
        <w:t>3.  IBM Research：ImpactMesh 数据集发布说明。用于项目背景与数据集来源核验。</w:t>
      </w:r>
    </w:p>
    <w:p w14:paraId="3D1A87F4">
      <w:pPr>
        <w:spacing w:after="120" w:line="300" w:lineRule="auto"/>
      </w:pPr>
      <w:r>
        <w:rPr>
          <w:rFonts w:ascii="Noto Sans CJK SC" w:hAnsi="Noto Sans CJK SC" w:eastAsia="Noto Sans CJK SC"/>
          <w:b w:val="0"/>
          <w:i/>
          <w:color w:val="5F5F5F"/>
          <w:sz w:val="19"/>
        </w:rPr>
        <w:t>说明：ImpactMesh 数据集仍在持续维护，文件规模、样本数量等可能随版本更新发生变化。正式参赛文档应以最终使用版本的数据卡和本地下载清单为准。</w:t>
      </w:r>
    </w:p>
    <w:p w14:paraId="17F3A4C3">
      <w:r>
        <w:br w:type="page"/>
      </w:r>
    </w:p>
    <w:p w14:paraId="7DFF2BF8">
      <w:pPr>
        <w:keepNext/>
        <w:spacing w:before="240" w:after="140"/>
      </w:pPr>
      <w:r>
        <w:rPr>
          <w:rFonts w:ascii="Noto Sans CJK SC" w:hAnsi="Noto Sans CJK SC" w:eastAsia="Noto Sans CJK SC"/>
          <w:b/>
          <w:color w:val="1C4874"/>
          <w:sz w:val="32"/>
        </w:rPr>
        <w:t>附录：开工后的第一张“完成清单”</w:t>
      </w:r>
    </w:p>
    <w:p w14:paraId="0453DEE9">
      <w:pPr>
        <w:spacing w:after="100"/>
        <w:ind w:left="160"/>
      </w:pPr>
      <w:r>
        <w:rPr>
          <w:rFonts w:ascii="Noto Sans CJK SC" w:hAnsi="Noto Sans CJK SC" w:eastAsia="Noto Sans CJK SC"/>
          <w:color w:val="2D2D2D"/>
          <w:sz w:val="21"/>
        </w:rPr>
        <w:t>□ 已成功读取 1 个完整样本的四时相 SAR、DEM、MASK。</w:t>
      </w:r>
    </w:p>
    <w:p w14:paraId="749DF713">
      <w:pPr>
        <w:spacing w:after="100"/>
        <w:ind w:left="160"/>
      </w:pPr>
      <w:r>
        <w:rPr>
          <w:rFonts w:ascii="Noto Sans CJK SC" w:hAnsi="Noto Sans CJK SC" w:eastAsia="Noto Sans CJK SC"/>
          <w:color w:val="2D2D2D"/>
          <w:sz w:val="21"/>
        </w:rPr>
        <w:t>□ 已画出第一张六联图。</w:t>
      </w:r>
    </w:p>
    <w:p w14:paraId="0670F811">
      <w:pPr>
        <w:spacing w:after="100"/>
        <w:ind w:left="160"/>
      </w:pPr>
      <w:r>
        <w:rPr>
          <w:rFonts w:ascii="Noto Sans CJK SC" w:hAnsi="Noto Sans CJK SC" w:eastAsia="Noto Sans CJK SC"/>
          <w:color w:val="2D2D2D"/>
          <w:sz w:val="21"/>
        </w:rPr>
        <w:t>□ 已确认至少 20 个事件的采集时间与 MASK 语义。</w:t>
      </w:r>
    </w:p>
    <w:p w14:paraId="71D60540">
      <w:pPr>
        <w:spacing w:after="100"/>
        <w:ind w:left="160"/>
      </w:pPr>
      <w:r>
        <w:rPr>
          <w:rFonts w:ascii="Noto Sans CJK SC" w:hAnsi="Noto Sans CJK SC" w:eastAsia="Noto Sans CJK SC"/>
          <w:color w:val="2D2D2D"/>
          <w:sz w:val="21"/>
        </w:rPr>
        <w:t>□ 已确定 A/B/C 路线结论。</w:t>
      </w:r>
    </w:p>
    <w:p w14:paraId="3EFB6F82">
      <w:pPr>
        <w:spacing w:after="100"/>
        <w:ind w:left="160"/>
      </w:pPr>
      <w:r>
        <w:rPr>
          <w:rFonts w:ascii="Noto Sans CJK SC" w:hAnsi="Noto Sans CJK SC" w:eastAsia="Noto Sans CJK SC"/>
          <w:color w:val="2D2D2D"/>
          <w:sz w:val="21"/>
        </w:rPr>
        <w:t>□ 已在小数据上过拟合 U-Net，证明代码链路正确。</w:t>
      </w:r>
    </w:p>
    <w:p w14:paraId="42921F20">
      <w:pPr>
        <w:spacing w:after="100"/>
        <w:ind w:left="160"/>
      </w:pPr>
      <w:r>
        <w:rPr>
          <w:rFonts w:ascii="Noto Sans CJK SC" w:hAnsi="Noto Sans CJK SC" w:eastAsia="Noto Sans CJK SC"/>
          <w:color w:val="2D2D2D"/>
          <w:sz w:val="21"/>
        </w:rPr>
        <w:t>□ 已得到 E0 baseline 的第一组 IoU/Dice/F1。</w:t>
      </w:r>
    </w:p>
    <w:p w14:paraId="37ED5C82">
      <w:pPr>
        <w:spacing w:after="100"/>
        <w:ind w:left="160"/>
      </w:pPr>
      <w:r>
        <w:rPr>
          <w:rFonts w:ascii="Noto Sans CJK SC" w:hAnsi="Noto Sans CJK SC" w:eastAsia="Noto Sans CJK SC"/>
          <w:color w:val="2D2D2D"/>
          <w:sz w:val="21"/>
        </w:rPr>
        <w:t>□ 已完成 E1、E2、E3 消融实验。</w:t>
      </w:r>
    </w:p>
    <w:p w14:paraId="447E98B5">
      <w:pPr>
        <w:spacing w:after="100"/>
        <w:ind w:left="160"/>
      </w:pPr>
      <w:r>
        <w:rPr>
          <w:rFonts w:ascii="Noto Sans CJK SC" w:hAnsi="Noto Sans CJK SC" w:eastAsia="Noto Sans CJK SC"/>
          <w:color w:val="2D2D2D"/>
          <w:sz w:val="21"/>
        </w:rPr>
        <w:t>□ 已整理 20 组预测 vs 真值可视化。</w:t>
      </w:r>
    </w:p>
    <w:p w14:paraId="2A69C906">
      <w:pPr>
        <w:spacing w:after="100"/>
        <w:ind w:left="160"/>
      </w:pPr>
      <w:r>
        <w:rPr>
          <w:rFonts w:ascii="Noto Sans CJK SC" w:hAnsi="Noto Sans CJK SC" w:eastAsia="Noto Sans CJK SC"/>
          <w:color w:val="2D2D2D"/>
          <w:sz w:val="21"/>
        </w:rPr>
        <w:t>□ 已生成事件级洪水影响比例和三级严重度。</w:t>
      </w:r>
    </w:p>
    <w:p w14:paraId="0C7D942E">
      <w:pPr>
        <w:spacing w:after="100"/>
        <w:ind w:left="160"/>
      </w:pPr>
      <w:r>
        <w:rPr>
          <w:rFonts w:ascii="Noto Sans CJK SC" w:hAnsi="Noto Sans CJK SC" w:eastAsia="Noto Sans CJK SC"/>
          <w:color w:val="2D2D2D"/>
          <w:sz w:val="21"/>
        </w:rPr>
        <w:t>□ 已决定是否进入 V3“早期 → 后期”演化预测。</w:t>
      </w:r>
    </w:p>
    <w:sectPr>
      <w:pgSz w:w="12240" w:h="15840"/>
      <w:pgMar w:top="1037" w:right="1123" w:bottom="1037"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Mono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7F3C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Noto Sans CJK SC" w:hAnsi="Noto Sans CJK SC" w:eastAsia="Noto Sans CJK SC"/>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Noto Sans CJK SC" w:hAnsi="Noto Sans CJK SC" w:eastAsia="Noto Sans CJK SC"/>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rPr>
      <w:rFonts w:ascii="Noto Sans CJK SC" w:hAnsi="Noto Sans CJK SC" w:eastAsia="Noto Sans CJK SC"/>
      <w:sz w:val="22"/>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171</Words>
  <Characters>205</Characters>
  <Lines>0</Lines>
  <Paragraphs>0</Paragraphs>
  <TotalTime>3</TotalTime>
  <ScaleCrop>false</ScaleCrop>
  <LinksUpToDate>false</LinksUpToDate>
  <CharactersWithSpaces>216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617</dc:creator>
  <dc:description>generated by python-docx</dc:description>
  <cp:keywords>SAR, 洪涝, 遥感, AI, ImpactMesh, DEM</cp:keywords>
  <cp:lastModifiedBy>617</cp:lastModifiedBy>
  <dcterms:modified xsi:type="dcterms:W3CDTF">2026-08-11T06:19:21Z</dcterms:modified>
  <dc:subject>多时相SAR与DEM洪涝灾害AI项目实施方案</dc:subject>
  <dc:title>研究生AI创新大赛项目阶段一实施方案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eyJoZGlkIjoiNzUzZDMwYTBjMzMyMzc5YzM0NTBhNzhkYTBiMmVmY2YiLCJ1c2VySWQiOiIxMDY3MTQ5NDMwIn0=</vt:lpwstr>
  </property>
  <property fmtid="{D5CDD505-2E9C-101B-9397-08002B2CF9AE}" pid="3" name="KSOProductBuildVer">
    <vt:lpwstr>2052-12.1.0.28043</vt:lpwstr>
  </property>
  <property fmtid="{D5CDD505-2E9C-101B-9397-08002B2CF9AE}" pid="4" name="ICV">
    <vt:lpwstr>461EAC2B0D6B4D4DA53A3D0D4E979AA7_12</vt:lpwstr>
  </property>
</Properties>
</file>