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Running</w:t>
      </w:r>
      <w:r>
        <w:t xml:space="preserve"> </w:t>
      </w:r>
      <w:r>
        <w:t xml:space="preserve">a</w:t>
      </w:r>
      <w:r>
        <w:t xml:space="preserve"> </w:t>
      </w:r>
      <w:r>
        <w:t xml:space="preserve">KI/SaaS</w:t>
      </w:r>
      <w:r>
        <w:t xml:space="preserve"> </w:t>
      </w:r>
      <w:r>
        <w:t xml:space="preserve">Startup</w:t>
      </w:r>
      <w:r>
        <w:t xml:space="preserve"> </w:t>
      </w:r>
      <w:r>
        <w:t xml:space="preserve">in</w:t>
      </w:r>
      <w:r>
        <w:t xml:space="preserve"> </w:t>
      </w:r>
      <w:r>
        <w:t xml:space="preserve">Germany:</w:t>
      </w:r>
      <w:r>
        <w:t xml:space="preserve"> </w:t>
      </w:r>
      <w:r>
        <w:t xml:space="preserve">Legal,</w:t>
      </w:r>
      <w:r>
        <w:t xml:space="preserve"> </w:t>
      </w:r>
      <w:r>
        <w:t xml:space="preserve">Tax</w:t>
      </w:r>
      <w:r>
        <w:t xml:space="preserve"> </w:t>
      </w:r>
      <w:r>
        <w:t xml:space="preserve">&amp;</w:t>
      </w:r>
      <w:r>
        <w:t xml:space="preserve"> </w:t>
      </w:r>
      <w:r>
        <w:t xml:space="preserve">Compliance</w:t>
      </w:r>
      <w:r>
        <w:t xml:space="preserve"> </w:t>
      </w:r>
      <w:r>
        <w:t xml:space="preserve">Knowledge</w:t>
      </w:r>
      <w:r>
        <w:t xml:space="preserve"> </w:t>
      </w:r>
      <w:r>
        <w:t xml:space="preserve">Base</w:t>
      </w:r>
    </w:p>
    <w:p>
      <w:pPr>
        <w:pStyle w:val="Subtitle"/>
      </w:pPr>
      <w:r>
        <w:t xml:space="preserve">Lessons</w:t>
      </w:r>
      <w:r>
        <w:t xml:space="preserve"> </w:t>
      </w:r>
      <w:r>
        <w:t xml:space="preserve">Learned</w:t>
      </w:r>
      <w:r>
        <w:t xml:space="preserve"> </w:t>
      </w:r>
      <w:r>
        <w:t xml:space="preserve">from</w:t>
      </w:r>
      <w:r>
        <w:t xml:space="preserve"> </w:t>
      </w:r>
      <w:r>
        <w:t xml:space="preserve">EthicalPivot</w:t>
      </w:r>
      <w:r>
        <w:t xml:space="preserve"> </w:t>
      </w:r>
      <w:r>
        <w:t xml:space="preserve">(March</w:t>
      </w:r>
      <w:r>
        <w:t xml:space="preserve"> </w:t>
      </w:r>
      <w:r>
        <w:t xml:space="preserve">2026)</w:t>
      </w:r>
    </w:p>
    <w:p>
      <w:pPr>
        <w:pStyle w:val="Author"/>
      </w:pPr>
      <w:r>
        <w:t xml:space="preserve">Ryan</w:t>
      </w:r>
      <w:r>
        <w:t xml:space="preserve"> </w:t>
      </w:r>
      <w:r>
        <w:t xml:space="preserve">Hill</w:t>
      </w:r>
      <w:r>
        <w:t xml:space="preserve"> </w:t>
      </w:r>
      <w:r>
        <w:t xml:space="preserve">—</w:t>
      </w:r>
      <w:r>
        <w:t xml:space="preserve"> </w:t>
      </w:r>
      <w:r>
        <w:t xml:space="preserve">ML</w:t>
      </w:r>
      <w:r>
        <w:t xml:space="preserve"> </w:t>
      </w:r>
      <w:r>
        <w:t xml:space="preserve">Upskill</w:t>
      </w:r>
      <w:r>
        <w:t xml:space="preserve"> </w:t>
      </w:r>
      <w:r>
        <w:t xml:space="preserve">Agents</w:t>
      </w:r>
      <w:r>
        <w:t xml:space="preserve"> </w:t>
      </w:r>
      <w:r>
        <w:t xml:space="preserve">UG</w:t>
      </w:r>
      <w:r>
        <w:t xml:space="preserve"> </w:t>
      </w:r>
      <w:r>
        <w:t xml:space="preserve">(haftungsbeschränkt)</w:t>
      </w:r>
    </w:p>
    <w:p>
      <w:pPr>
        <w:pStyle w:val="Date"/>
      </w:pPr>
      <w:r>
        <w:t xml:space="preserve">March</w:t>
      </w:r>
      <w:r>
        <w:t xml:space="preserve"> </w:t>
      </w:r>
      <w:r>
        <w:t xml:space="preserve">10,</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running-a-kisaas-startup-in-germany"/>
      <w:r>
        <w:t xml:space="preserve">Running a KI/SaaS Startup in Germany</w:t>
      </w:r>
      <w:bookmarkEnd w:id="20"/>
    </w:p>
    <w:p>
      <w:pPr>
        <w:pStyle w:val="Heading2"/>
      </w:pPr>
      <w:bookmarkStart w:id="21" w:name="legal-tax-compliance-knowledge-base"/>
      <w:r>
        <w:t xml:space="preserve">Legal, Tax &amp; Compliance Knowledge Base</w:t>
      </w:r>
      <w:bookmarkEnd w:id="21"/>
    </w:p>
    <w:p>
      <w:pPr>
        <w:pStyle w:val="FirstParagraph"/>
      </w:pPr>
      <w:r>
        <w:rPr>
          <w:i/>
        </w:rPr>
        <w:t xml:space="preserve">Compiled March 2026. Lessons learned from building EthicalPivot, an API proxy SaaS operated through ML Upskill Agents UG (haftungsbeschränkt) in Vilseck, Germany. This document captures verified legal, tax, and regulatory findings applicable to any SaaS or KI (AI) micro-startup operating from Germany and selling to EU/international customers.</w:t>
      </w:r>
    </w:p>
    <w:p>
      <w:pPr>
        <w:pStyle w:val="BodyText"/>
      </w:pPr>
      <w:r>
        <w:rPr>
          <w:i/>
        </w:rPr>
        <w:t xml:space="preserve">Disclaimer: This is not legal advice. All findings should be verified by a qualified German lawyer (Rechtsanwalt) and tax advisor (Steuerberater) before acting on them.</w:t>
      </w:r>
    </w:p>
    <w:p>
      <w:pPr>
        <w:pStyle w:val="Heading1"/>
      </w:pPr>
      <w:bookmarkStart w:id="22" w:name="company-formation-ug-haftungsbeschränkt"/>
      <w:r>
        <w:t xml:space="preserve">1. Company Formation: UG (haftungsbeschränkt)</w:t>
      </w:r>
      <w:bookmarkEnd w:id="22"/>
    </w:p>
    <w:p>
      <w:pPr>
        <w:pStyle w:val="FirstParagraph"/>
      </w:pPr>
      <w:r>
        <w:t xml:space="preserve">The UG (Unternehmergesellschaft, haftungsbeschränkt) is a German limited liability company requiring as little as EUR 1 in share capital. It is essentially a mini-GmbH designed for founders who cannot front the EUR 25,000 required for a standard GmbH.</w:t>
      </w:r>
    </w:p>
    <w:p>
      <w:pPr>
        <w:pStyle w:val="BodyText"/>
      </w:pPr>
      <w:r>
        <w:rPr>
          <w:b/>
        </w:rPr>
        <w:t xml:space="preserve">Key characteristics:</w:t>
      </w:r>
    </w:p>
    <w:p>
      <w:pPr>
        <w:numPr>
          <w:ilvl w:val="0"/>
          <w:numId w:val="1001"/>
        </w:numPr>
        <w:pStyle w:val="Compact"/>
      </w:pPr>
      <w:r>
        <w:t xml:space="preserve">Minimum share capital: EUR 1 (practically, EUR 500–1,000 is more credible)</w:t>
      </w:r>
    </w:p>
    <w:p>
      <w:pPr>
        <w:numPr>
          <w:ilvl w:val="0"/>
          <w:numId w:val="1001"/>
        </w:numPr>
        <w:pStyle w:val="Compact"/>
      </w:pPr>
      <w:r>
        <w:t xml:space="preserve">Must retain 25% of annual profits until share capital reaches EUR 25,000 (Thesaurierungspflicht)</w:t>
      </w:r>
    </w:p>
    <w:p>
      <w:pPr>
        <w:numPr>
          <w:ilvl w:val="0"/>
          <w:numId w:val="1001"/>
        </w:numPr>
        <w:pStyle w:val="Compact"/>
      </w:pPr>
      <w:r>
        <w:t xml:space="preserve">Once EUR 25,000 is accumulated, can convert to a full GmbH</w:t>
      </w:r>
    </w:p>
    <w:p>
      <w:pPr>
        <w:numPr>
          <w:ilvl w:val="0"/>
          <w:numId w:val="1001"/>
        </w:numPr>
        <w:pStyle w:val="Compact"/>
      </w:pPr>
      <w:r>
        <w:t xml:space="preserve">Requires notarized articles of association (Gesellschaftsvertrag)</w:t>
      </w:r>
    </w:p>
    <w:p>
      <w:pPr>
        <w:numPr>
          <w:ilvl w:val="0"/>
          <w:numId w:val="1001"/>
        </w:numPr>
        <w:pStyle w:val="Compact"/>
      </w:pPr>
      <w:r>
        <w:t xml:space="preserve">Registered at the local Amtsgericht (commercial register, Handelsregister)</w:t>
      </w:r>
    </w:p>
    <w:p>
      <w:pPr>
        <w:numPr>
          <w:ilvl w:val="0"/>
          <w:numId w:val="1001"/>
        </w:numPr>
        <w:pStyle w:val="Compact"/>
      </w:pPr>
      <w:r>
        <w:t xml:space="preserve">Managing director (Geschaeftsfuehrer) bears personal liability for tax obligations and certain regulatory duties</w:t>
      </w:r>
    </w:p>
    <w:p>
      <w:pPr>
        <w:pStyle w:val="FirstParagraph"/>
      </w:pPr>
      <w:r>
        <w:rPr>
          <w:b/>
        </w:rPr>
        <w:t xml:space="preserve">Ongoing obligations:</w:t>
      </w:r>
    </w:p>
    <w:p>
      <w:pPr>
        <w:numPr>
          <w:ilvl w:val="0"/>
          <w:numId w:val="1002"/>
        </w:numPr>
        <w:pStyle w:val="Compact"/>
      </w:pPr>
      <w:r>
        <w:t xml:space="preserve">Annual financial statements filed with Bundesanzeiger (Federal Gazette)</w:t>
      </w:r>
    </w:p>
    <w:p>
      <w:pPr>
        <w:numPr>
          <w:ilvl w:val="0"/>
          <w:numId w:val="1002"/>
        </w:numPr>
        <w:pStyle w:val="Compact"/>
      </w:pPr>
      <w:r>
        <w:t xml:space="preserve">Trade tax (Gewerbesteuer) registration with the local municipality</w:t>
      </w:r>
    </w:p>
    <w:p>
      <w:pPr>
        <w:numPr>
          <w:ilvl w:val="0"/>
          <w:numId w:val="1002"/>
        </w:numPr>
        <w:pStyle w:val="Compact"/>
      </w:pPr>
      <w:r>
        <w:t xml:space="preserve">Corporate income tax (Koerperschaftsteuer) at 15% plus solidarity surcharge</w:t>
      </w:r>
    </w:p>
    <w:p>
      <w:pPr>
        <w:numPr>
          <w:ilvl w:val="0"/>
          <w:numId w:val="1002"/>
        </w:numPr>
        <w:pStyle w:val="Compact"/>
      </w:pPr>
      <w:r>
        <w:t xml:space="preserve">Trade tax varies by municipality (typically 14–17% effective rate)</w:t>
      </w:r>
    </w:p>
    <w:p>
      <w:pPr>
        <w:pStyle w:val="Heading1"/>
      </w:pPr>
      <w:bookmarkStart w:id="23" w:name="Xfec812c09d60c7e273e9563602d479e44737f5d"/>
      <w:r>
        <w:t xml:space="preserve">2. Required Legal Pages for Any German Website</w:t>
      </w:r>
      <w:bookmarkEnd w:id="23"/>
    </w:p>
    <w:p>
      <w:pPr>
        <w:pStyle w:val="FirstParagraph"/>
      </w:pPr>
      <w:r>
        <w:t xml:space="preserve">German law requires specific legal disclosures on commercial websites. Missing any of these can trigger an Abmahnung (cease-and-desist letter), typically costing EUR 1,200–3,000 per incident.</w:t>
      </w:r>
    </w:p>
    <w:p>
      <w:pPr>
        <w:pStyle w:val="Heading2"/>
      </w:pPr>
      <w:bookmarkStart w:id="24" w:name="impressum-legal-notice-sec.-5-ddg"/>
      <w:r>
        <w:t xml:space="preserve">2.1 Impressum (Legal Notice) — Sec. 5 DDG</w:t>
      </w:r>
      <w:bookmarkEnd w:id="24"/>
    </w:p>
    <w:p>
      <w:pPr>
        <w:pStyle w:val="FirstParagraph"/>
      </w:pPr>
      <w:r>
        <w:t xml:space="preserve">Every commercial German website must have an Impressum. The legal basis changed in May 2024 from Sec. 5 TMG to</w:t>
      </w:r>
      <w:r>
        <w:t xml:space="preserve"> </w:t>
      </w:r>
      <w:r>
        <w:rPr>
          <w:b/>
        </w:rPr>
        <w:t xml:space="preserve">Sec. 5 DDG</w:t>
      </w:r>
      <w:r>
        <w:t xml:space="preserve"> </w:t>
      </w:r>
      <w:r>
        <w:t xml:space="preserve">(Digitale-Dienste-Gesetz). Many templates still reference TMG — update them.</w:t>
      </w:r>
    </w:p>
    <w:p>
      <w:pPr>
        <w:pStyle w:val="BodyText"/>
      </w:pPr>
      <w:r>
        <w:rPr>
          <w:b/>
        </w:rPr>
        <w:t xml:space="preserve">Required content:</w:t>
      </w:r>
    </w:p>
    <w:p>
      <w:pPr>
        <w:numPr>
          <w:ilvl w:val="0"/>
          <w:numId w:val="1003"/>
        </w:numPr>
        <w:pStyle w:val="Compact"/>
      </w:pPr>
      <w:r>
        <w:t xml:space="preserve">Full legal name:</w:t>
      </w:r>
      <w:r>
        <w:t xml:space="preserve"> </w:t>
      </w:r>
      <w:r>
        <w:t xml:space="preserve">“</w:t>
      </w:r>
      <w:r>
        <w:t xml:space="preserve">ML Upskill Agents UG (haftungsbeschraenkt)</w:t>
      </w:r>
      <w:r>
        <w:t xml:space="preserve">”</w:t>
      </w:r>
    </w:p>
    <w:p>
      <w:pPr>
        <w:numPr>
          <w:ilvl w:val="0"/>
          <w:numId w:val="1003"/>
        </w:numPr>
        <w:pStyle w:val="Compact"/>
      </w:pPr>
      <w:r>
        <w:t xml:space="preserve">Managing director’s full name</w:t>
      </w:r>
    </w:p>
    <w:p>
      <w:pPr>
        <w:numPr>
          <w:ilvl w:val="0"/>
          <w:numId w:val="1003"/>
        </w:numPr>
        <w:pStyle w:val="Compact"/>
      </w:pPr>
      <w:r>
        <w:t xml:space="preserve">Registered address (not a PO box)</w:t>
      </w:r>
    </w:p>
    <w:p>
      <w:pPr>
        <w:numPr>
          <w:ilvl w:val="0"/>
          <w:numId w:val="1003"/>
        </w:numPr>
        <w:pStyle w:val="Compact"/>
      </w:pPr>
      <w:r>
        <w:t xml:space="preserve">Handelsregister number and court (e.g.,</w:t>
      </w:r>
      <w:r>
        <w:t xml:space="preserve"> </w:t>
      </w:r>
      <w:r>
        <w:t xml:space="preserve">“</w:t>
      </w:r>
      <w:r>
        <w:t xml:space="preserve">Amtsgericht Amberg, HRB 12345</w:t>
      </w:r>
      <w:r>
        <w:t xml:space="preserve">”</w:t>
      </w:r>
      <w:r>
        <w:t xml:space="preserve">)</w:t>
      </w:r>
    </w:p>
    <w:p>
      <w:pPr>
        <w:numPr>
          <w:ilvl w:val="0"/>
          <w:numId w:val="1003"/>
        </w:numPr>
        <w:pStyle w:val="Compact"/>
      </w:pPr>
      <w:r>
        <w:t xml:space="preserve">Steuernummer and/or USt-ID (VAT ID)</w:t>
      </w:r>
    </w:p>
    <w:p>
      <w:pPr>
        <w:numPr>
          <w:ilvl w:val="0"/>
          <w:numId w:val="1003"/>
        </w:numPr>
        <w:pStyle w:val="Compact"/>
      </w:pPr>
      <w:r>
        <w:t xml:space="preserve">Contact email (phone number recommended but debated)</w:t>
      </w:r>
    </w:p>
    <w:p>
      <w:pPr>
        <w:pStyle w:val="FirstParagraph"/>
      </w:pPr>
      <w:r>
        <w:rPr>
          <w:b/>
        </w:rPr>
        <w:t xml:space="preserve">Cost:</w:t>
      </w:r>
      <w:r>
        <w:t xml:space="preserve"> </w:t>
      </w:r>
      <w:r>
        <w:t xml:space="preserve">Free (self-serve). No lawyer needed.</w:t>
      </w:r>
    </w:p>
    <w:p>
      <w:pPr>
        <w:pStyle w:val="Heading2"/>
      </w:pPr>
      <w:bookmarkStart w:id="25" w:name="X284e9c1653c07f9ec27f3b1dcc1f22864a5f1a1"/>
      <w:r>
        <w:t xml:space="preserve">2.2 Privacy Policy (Datenschutzerklaerung) — GDPR Art. 13/14</w:t>
      </w:r>
      <w:bookmarkEnd w:id="25"/>
    </w:p>
    <w:p>
      <w:pPr>
        <w:pStyle w:val="FirstParagraph"/>
      </w:pPr>
      <w:r>
        <w:rPr>
          <w:b/>
        </w:rPr>
        <w:t xml:space="preserve">Must cover:</w:t>
      </w:r>
    </w:p>
    <w:p>
      <w:pPr>
        <w:numPr>
          <w:ilvl w:val="0"/>
          <w:numId w:val="1004"/>
        </w:numPr>
        <w:pStyle w:val="Compact"/>
      </w:pPr>
      <w:r>
        <w:t xml:space="preserve">Data controller identity (your UG, address, contact)</w:t>
      </w:r>
    </w:p>
    <w:p>
      <w:pPr>
        <w:numPr>
          <w:ilvl w:val="0"/>
          <w:numId w:val="1004"/>
        </w:numPr>
        <w:pStyle w:val="Compact"/>
      </w:pPr>
      <w:r>
        <w:t xml:space="preserve">All sub-processors (Stripe, Cloudflare, Fly.io, email provider, analytics)</w:t>
      </w:r>
    </w:p>
    <w:p>
      <w:pPr>
        <w:numPr>
          <w:ilvl w:val="0"/>
          <w:numId w:val="1004"/>
        </w:numPr>
        <w:pStyle w:val="Compact"/>
      </w:pPr>
      <w:r>
        <w:t xml:space="preserve">Legal basis for each processing activity (consent, legitimate interest, contract performance)</w:t>
      </w:r>
    </w:p>
    <w:p>
      <w:pPr>
        <w:numPr>
          <w:ilvl w:val="0"/>
          <w:numId w:val="1004"/>
        </w:numPr>
        <w:pStyle w:val="Compact"/>
      </w:pPr>
      <w:r>
        <w:t xml:space="preserve">Data retention periods (90 days metadata, 10 years invoices per Sec. 147 AO, until-unsubscribe for emails)</w:t>
      </w:r>
    </w:p>
    <w:p>
      <w:pPr>
        <w:numPr>
          <w:ilvl w:val="0"/>
          <w:numId w:val="1004"/>
        </w:numPr>
        <w:pStyle w:val="Compact"/>
      </w:pPr>
      <w:r>
        <w:t xml:space="preserve">Data subject rights (access, rectification, erasure, portability, objection)</w:t>
      </w:r>
    </w:p>
    <w:p>
      <w:pPr>
        <w:numPr>
          <w:ilvl w:val="0"/>
          <w:numId w:val="1004"/>
        </w:numPr>
        <w:pStyle w:val="Compact"/>
      </w:pPr>
      <w:r>
        <w:t xml:space="preserve">International data transfers (if using US-based services like Anthropic, AWS, etc.)</w:t>
      </w:r>
    </w:p>
    <w:p>
      <w:pPr>
        <w:numPr>
          <w:ilvl w:val="0"/>
          <w:numId w:val="1004"/>
        </w:numPr>
        <w:pStyle w:val="Compact"/>
      </w:pPr>
      <w:r>
        <w:t xml:space="preserve">Cookie/tracking disclosure</w:t>
      </w:r>
    </w:p>
    <w:p>
      <w:pPr>
        <w:pStyle w:val="FirstParagraph"/>
      </w:pPr>
      <w:r>
        <w:rPr>
          <w:b/>
        </w:rPr>
        <w:t xml:space="preserve">Reference the correct law:</w:t>
      </w:r>
      <w:r>
        <w:t xml:space="preserve"> </w:t>
      </w:r>
      <w:r>
        <w:t xml:space="preserve">TDDDG (Telekommunikation-Digitale-Dienste-Datenschutz-Gesetz), not the old TTDSG. The law was renamed in 2024.</w:t>
      </w:r>
    </w:p>
    <w:p>
      <w:pPr>
        <w:pStyle w:val="BodyText"/>
      </w:pPr>
      <w:r>
        <w:rPr>
          <w:b/>
        </w:rPr>
        <w:t xml:space="preserve">Cost:</w:t>
      </w:r>
      <w:r>
        <w:t xml:space="preserve"> </w:t>
      </w:r>
      <w:r>
        <w:t xml:space="preserve">EUR 50–200 for a template (Termly, CookieYes, iubenda). Lawyer review recommended: EUR 300–800.</w:t>
      </w:r>
    </w:p>
    <w:p>
      <w:pPr>
        <w:pStyle w:val="Heading2"/>
      </w:pPr>
      <w:bookmarkStart w:id="26" w:name="X6fa0bd6610b0e4fb3ad43db7187f8f72ce7ef58"/>
      <w:r>
        <w:t xml:space="preserve">2.3 AGB (Allgemeine Geschaeftsbedingungen / Terms of Service)</w:t>
      </w:r>
      <w:bookmarkEnd w:id="26"/>
    </w:p>
    <w:p>
      <w:pPr>
        <w:pStyle w:val="FirstParagraph"/>
      </w:pPr>
      <w:r>
        <w:t xml:space="preserve">This is where German law diverges sharply from US/UK practice. German AGB are governed by</w:t>
      </w:r>
      <w:r>
        <w:t xml:space="preserve"> </w:t>
      </w:r>
      <w:r>
        <w:rPr>
          <w:b/>
        </w:rPr>
        <w:t xml:space="preserve">Secs. 305–310 BGB</w:t>
      </w:r>
      <w:r>
        <w:t xml:space="preserve"> </w:t>
      </w:r>
      <w:r>
        <w:t xml:space="preserve">(Buergerliches Gesetzbuch), which impose strict</w:t>
      </w:r>
      <w:r>
        <w:t xml:space="preserve"> </w:t>
      </w:r>
      <w:r>
        <w:t xml:space="preserve">“</w:t>
      </w:r>
      <w:r>
        <w:t xml:space="preserve">fairness tests</w:t>
      </w:r>
      <w:r>
        <w:t xml:space="preserve">”</w:t>
      </w:r>
      <w:r>
        <w:t xml:space="preserve"> </w:t>
      </w:r>
      <w:r>
        <w:t xml:space="preserve">on standard terms.</w:t>
      </w:r>
    </w:p>
    <w:p>
      <w:pPr>
        <w:pStyle w:val="BodyText"/>
      </w:pPr>
      <w:r>
        <w:rPr>
          <w:b/>
        </w:rPr>
        <w:t xml:space="preserve">Critical German-specific rules:</w:t>
      </w:r>
    </w:p>
    <w:p>
      <w:pPr>
        <w:numPr>
          <w:ilvl w:val="0"/>
          <w:numId w:val="1005"/>
        </w:numPr>
        <w:pStyle w:val="Compact"/>
      </w:pPr>
      <w:r>
        <w:rPr>
          <w:b/>
        </w:rPr>
        <w:t xml:space="preserve">Sec. 307 BGB (Unreasonable Disadvantage Test):</w:t>
      </w:r>
      <w:r>
        <w:t xml:space="preserve"> </w:t>
      </w:r>
      <w:r>
        <w:t xml:space="preserve">Any clause that unreasonably disadvantages the customer is void. This is evaluated against the principles of good faith (Treu und Glauben).</w:t>
      </w:r>
    </w:p>
    <w:p>
      <w:pPr>
        <w:numPr>
          <w:ilvl w:val="0"/>
          <w:numId w:val="1005"/>
        </w:numPr>
        <w:pStyle w:val="Compact"/>
      </w:pPr>
      <w:r>
        <w:rPr>
          <w:b/>
        </w:rPr>
        <w:t xml:space="preserve">Kardinalpflichten (Cardinal Obligations):</w:t>
      </w:r>
      <w:r>
        <w:t xml:space="preserve"> </w:t>
      </w:r>
      <w:r>
        <w:t xml:space="preserve">You CANNOT limit liability for breach of your essential contractual obligations (the core things the customer is paying for). A blanket</w:t>
      </w:r>
      <w:r>
        <w:t xml:space="preserve"> </w:t>
      </w:r>
      <w:r>
        <w:t xml:space="preserve">“</w:t>
      </w:r>
      <w:r>
        <w:t xml:space="preserve">liability capped at 12 months fees</w:t>
      </w:r>
      <w:r>
        <w:t xml:space="preserve">”</w:t>
      </w:r>
      <w:r>
        <w:t xml:space="preserve"> </w:t>
      </w:r>
      <w:r>
        <w:t xml:space="preserve">clause will likely be struck down by a German court if it does not distinguish between cardinal obligations and simple negligence.</w:t>
      </w:r>
    </w:p>
    <w:p>
      <w:pPr>
        <w:numPr>
          <w:ilvl w:val="0"/>
          <w:numId w:val="1005"/>
        </w:numPr>
        <w:pStyle w:val="Compact"/>
      </w:pPr>
      <w:r>
        <w:rPr>
          <w:b/>
        </w:rPr>
        <w:t xml:space="preserve">Sec. 307 BGB consequence:</w:t>
      </w:r>
      <w:r>
        <w:t xml:space="preserve"> </w:t>
      </w:r>
      <w:r>
        <w:t xml:space="preserve">If a clause is declared invalid, the</w:t>
      </w:r>
      <w:r>
        <w:t xml:space="preserve"> </w:t>
      </w:r>
      <w:r>
        <w:rPr>
          <w:i/>
        </w:rPr>
        <w:t xml:space="preserve">entire clause</w:t>
      </w:r>
      <w:r>
        <w:t xml:space="preserve"> </w:t>
      </w:r>
      <w:r>
        <w:t xml:space="preserve">is void — and the statutory default applies. For liability, the statutory default is</w:t>
      </w:r>
      <w:r>
        <w:t xml:space="preserve"> </w:t>
      </w:r>
      <w:r>
        <w:rPr>
          <w:b/>
        </w:rPr>
        <w:t xml:space="preserve">unlimited liability</w:t>
      </w:r>
      <w:r>
        <w:t xml:space="preserve">. There is no</w:t>
      </w:r>
      <w:r>
        <w:t xml:space="preserve"> </w:t>
      </w:r>
      <w:r>
        <w:t xml:space="preserve">“</w:t>
      </w:r>
      <w:r>
        <w:t xml:space="preserve">blue pencil</w:t>
      </w:r>
      <w:r>
        <w:t xml:space="preserve">”</w:t>
      </w:r>
      <w:r>
        <w:t xml:space="preserve"> </w:t>
      </w:r>
      <w:r>
        <w:t xml:space="preserve">doctrine in German AGB law where a court rewrites your clause to be fair. It is all or nothing.</w:t>
      </w:r>
    </w:p>
    <w:p>
      <w:pPr>
        <w:numPr>
          <w:ilvl w:val="0"/>
          <w:numId w:val="1005"/>
        </w:numPr>
        <w:pStyle w:val="Compact"/>
      </w:pPr>
      <w:r>
        <w:rPr>
          <w:b/>
        </w:rPr>
        <w:t xml:space="preserve">Secs. 308–309 BGB:</w:t>
      </w:r>
      <w:r>
        <w:t xml:space="preserve"> </w:t>
      </w:r>
      <w:r>
        <w:t xml:space="preserve">Contain specific prohibited clauses (Klauselverbote). Section 309 lists clauses that are always void. Section 308 lists clauses that are void unless justified.</w:t>
      </w:r>
    </w:p>
    <w:p>
      <w:pPr>
        <w:pStyle w:val="FirstParagraph"/>
      </w:pPr>
      <w:r>
        <w:rPr>
          <w:b/>
        </w:rPr>
        <w:t xml:space="preserve">What this means practically:</w:t>
      </w:r>
    </w:p>
    <w:p>
      <w:pPr>
        <w:pStyle w:val="BodyText"/>
      </w:pPr>
      <w:r>
        <w:t xml:space="preserve">A US-style SaaS ToS (Common Paper, App.net template) is a useful starting point but MUST be</w:t>
      </w:r>
      <w:r>
        <w:t xml:space="preserve"> </w:t>
      </w:r>
      <w:r>
        <w:t xml:space="preserve">“</w:t>
      </w:r>
      <w:r>
        <w:t xml:space="preserve">BGB-proofed</w:t>
      </w:r>
      <w:r>
        <w:t xml:space="preserve">”</w:t>
      </w:r>
      <w:r>
        <w:t xml:space="preserve"> </w:t>
      </w:r>
      <w:r>
        <w:t xml:space="preserve">by a German lawyer. Specifically:</w:t>
      </w:r>
    </w:p>
    <w:p>
      <w:pPr>
        <w:numPr>
          <w:ilvl w:val="0"/>
          <w:numId w:val="1006"/>
        </w:numPr>
        <w:pStyle w:val="Compact"/>
      </w:pPr>
      <w:r>
        <w:t xml:space="preserve">Liability sections must distinguish between (a) intentional misconduct (Vorsatz), (b) gross negligence (grobe Fahrlaessigkeit), (c) breach of cardinal obligations, and (d) simple negligence</w:t>
      </w:r>
    </w:p>
    <w:p>
      <w:pPr>
        <w:numPr>
          <w:ilvl w:val="0"/>
          <w:numId w:val="1006"/>
        </w:numPr>
        <w:pStyle w:val="Compact"/>
      </w:pPr>
      <w:r>
        <w:t xml:space="preserve">Liability for personal injury, death, and health damage cannot be limited at all</w:t>
      </w:r>
    </w:p>
    <w:p>
      <w:pPr>
        <w:numPr>
          <w:ilvl w:val="0"/>
          <w:numId w:val="1006"/>
        </w:numPr>
        <w:pStyle w:val="Compact"/>
      </w:pPr>
      <w:r>
        <w:t xml:space="preserve">The right of withdrawal (Widerrufsrecht) — 14 days for B2C — must be properly disclosed</w:t>
      </w:r>
    </w:p>
    <w:p>
      <w:pPr>
        <w:numPr>
          <w:ilvl w:val="0"/>
          <w:numId w:val="1006"/>
        </w:numPr>
        <w:pStyle w:val="Compact"/>
      </w:pPr>
      <w:r>
        <w:t xml:space="preserve">Cancellation button required for B2C subscriptions (Sec. 312k BGB, effective since July 2022)</w:t>
      </w:r>
    </w:p>
    <w:p>
      <w:pPr>
        <w:pStyle w:val="FirstParagraph"/>
      </w:pPr>
      <w:r>
        <w:rPr>
          <w:b/>
        </w:rPr>
        <w:t xml:space="preserve">Cost:</w:t>
      </w:r>
      <w:r>
        <w:t xml:space="preserve"> </w:t>
      </w:r>
      <w:r>
        <w:t xml:space="preserve">EUR 500–1,500 for lawyer-drafted AGB. Do NOT rely solely on templates for a German market.</w:t>
      </w:r>
    </w:p>
    <w:p>
      <w:pPr>
        <w:pStyle w:val="Heading2"/>
      </w:pPr>
      <w:bookmarkStart w:id="27" w:name="X5ddd7bda7c97088876d88e95d1f0c8adee386fa"/>
      <w:r>
        <w:t xml:space="preserve">2.4 AVV (Auftragsverarbeitungsvertrag / Data Processing Agreement)</w:t>
      </w:r>
      <w:bookmarkEnd w:id="27"/>
    </w:p>
    <w:p>
      <w:pPr>
        <w:pStyle w:val="FirstParagraph"/>
      </w:pPr>
      <w:r>
        <w:t xml:space="preserve">If your SaaS processes personal data on behalf of customers (which nearly all SaaS does), you must provide an AVV under Art. 28 GDPR.</w:t>
      </w:r>
    </w:p>
    <w:p>
      <w:pPr>
        <w:pStyle w:val="BodyText"/>
      </w:pPr>
      <w:r>
        <w:rPr>
          <w:b/>
        </w:rPr>
        <w:t xml:space="preserve">Key finding: RAM-only processing still counts.</w:t>
      </w:r>
      <w:r>
        <w:t xml:space="preserve"> </w:t>
      </w:r>
      <w:r>
        <w:t xml:space="preserve">Under Art. 4(2) GDPR,</w:t>
      </w:r>
      <w:r>
        <w:t xml:space="preserve"> </w:t>
      </w:r>
      <w:r>
        <w:t xml:space="preserve">“</w:t>
      </w:r>
      <w:r>
        <w:t xml:space="preserve">processing</w:t>
      </w:r>
      <w:r>
        <w:t xml:space="preserve">”</w:t>
      </w:r>
      <w:r>
        <w:t xml:space="preserve"> </w:t>
      </w:r>
      <w:r>
        <w:t xml:space="preserve">includes transmission, making available, alignment, and restriction. Even if an API key is only in RAM for 10 milliseconds, you are a Data Processor.</w:t>
      </w:r>
    </w:p>
    <w:p>
      <w:pPr>
        <w:pStyle w:val="BodyText"/>
      </w:pPr>
      <w:r>
        <w:rPr>
          <w:b/>
        </w:rPr>
        <w:t xml:space="preserve">Your AVV must include:</w:t>
      </w:r>
    </w:p>
    <w:p>
      <w:pPr>
        <w:numPr>
          <w:ilvl w:val="0"/>
          <w:numId w:val="1007"/>
        </w:numPr>
        <w:pStyle w:val="Compact"/>
      </w:pPr>
      <w:r>
        <w:t xml:space="preserve">Subject and duration of processing</w:t>
      </w:r>
    </w:p>
    <w:p>
      <w:pPr>
        <w:numPr>
          <w:ilvl w:val="0"/>
          <w:numId w:val="1007"/>
        </w:numPr>
        <w:pStyle w:val="Compact"/>
      </w:pPr>
      <w:r>
        <w:t xml:space="preserve">Nature and purpose of processing</w:t>
      </w:r>
    </w:p>
    <w:p>
      <w:pPr>
        <w:numPr>
          <w:ilvl w:val="0"/>
          <w:numId w:val="1007"/>
        </w:numPr>
        <w:pStyle w:val="Compact"/>
      </w:pPr>
      <w:r>
        <w:t xml:space="preserve">Types of personal data processed</w:t>
      </w:r>
    </w:p>
    <w:p>
      <w:pPr>
        <w:numPr>
          <w:ilvl w:val="0"/>
          <w:numId w:val="1007"/>
        </w:numPr>
        <w:pStyle w:val="Compact"/>
      </w:pPr>
      <w:r>
        <w:t xml:space="preserve">Categories of data subjects</w:t>
      </w:r>
    </w:p>
    <w:p>
      <w:pPr>
        <w:numPr>
          <w:ilvl w:val="0"/>
          <w:numId w:val="1007"/>
        </w:numPr>
        <w:pStyle w:val="Compact"/>
      </w:pPr>
      <w:r>
        <w:t xml:space="preserve">Technical and Organizational Measures (TOMs) — see Section 5 below</w:t>
      </w:r>
    </w:p>
    <w:p>
      <w:pPr>
        <w:numPr>
          <w:ilvl w:val="0"/>
          <w:numId w:val="1007"/>
        </w:numPr>
        <w:pStyle w:val="Compact"/>
      </w:pPr>
      <w:r>
        <w:t xml:space="preserve">Sub-processor list and notification obligations</w:t>
      </w:r>
    </w:p>
    <w:p>
      <w:pPr>
        <w:numPr>
          <w:ilvl w:val="0"/>
          <w:numId w:val="1007"/>
        </w:numPr>
        <w:pStyle w:val="Compact"/>
      </w:pPr>
      <w:r>
        <w:t xml:space="preserve">Data subject rights assistance obligations</w:t>
      </w:r>
    </w:p>
    <w:p>
      <w:pPr>
        <w:numPr>
          <w:ilvl w:val="0"/>
          <w:numId w:val="1007"/>
        </w:numPr>
        <w:pStyle w:val="Compact"/>
      </w:pPr>
      <w:r>
        <w:t xml:space="preserve">Audit rights</w:t>
      </w:r>
    </w:p>
    <w:p>
      <w:pPr>
        <w:pStyle w:val="FirstParagraph"/>
      </w:pPr>
      <w:r>
        <w:rPr>
          <w:b/>
        </w:rPr>
        <w:t xml:space="preserve">Cost:</w:t>
      </w:r>
      <w:r>
        <w:t xml:space="preserve"> </w:t>
      </w:r>
      <w:r>
        <w:t xml:space="preserve">EUR 200–500 for a template with lawyer review.</w:t>
      </w:r>
    </w:p>
    <w:p>
      <w:pPr>
        <w:pStyle w:val="Heading1"/>
      </w:pPr>
      <w:bookmarkStart w:id="28" w:name="X77324f41417d8f07e16e763a454556c4e74f227"/>
      <w:r>
        <w:t xml:space="preserve">3. EU Product Liability Directive (2024/2853) — Verified</w:t>
      </w:r>
      <w:bookmarkEnd w:id="28"/>
    </w:p>
    <w:p>
      <w:pPr>
        <w:pStyle w:val="FirstParagraph"/>
      </w:pPr>
      <w:r>
        <w:rPr>
          <w:b/>
        </w:rPr>
        <w:t xml:space="preserve">Status: Directive adopted. Member states must transpose into national law by December 9, 2026. Applies to products placed on the market after that date.</w:t>
      </w:r>
    </w:p>
    <w:p>
      <w:pPr>
        <w:pStyle w:val="BodyText"/>
      </w:pPr>
      <w:r>
        <w:t xml:space="preserve">This is a significant change for software companies:</w:t>
      </w:r>
      <w:r>
        <w:t xml:space="preserve"> </w:t>
      </w:r>
      <w:r>
        <w:rPr>
          <w:b/>
        </w:rPr>
        <w:t xml:space="preserve">software — including SaaS — is now explicitly a</w:t>
      </w:r>
      <w:r>
        <w:rPr>
          <w:b/>
        </w:rPr>
        <w:t xml:space="preserve"> </w:t>
      </w:r>
      <w:r>
        <w:rPr>
          <w:b/>
        </w:rPr>
        <w:t xml:space="preserve">“</w:t>
      </w:r>
      <w:r>
        <w:rPr>
          <w:b/>
        </w:rPr>
        <w:t xml:space="preserve">product</w:t>
      </w:r>
      <w:r>
        <w:rPr>
          <w:b/>
        </w:rPr>
        <w:t xml:space="preserve">”</w:t>
      </w:r>
      <w:r>
        <w:rPr>
          <w:b/>
        </w:rPr>
        <w:t xml:space="preserve"> </w:t>
      </w:r>
      <w:r>
        <w:rPr>
          <w:b/>
        </w:rPr>
        <w:t xml:space="preserve">subject to strict (no-fault) liability.</w:t>
      </w:r>
    </w:p>
    <w:p>
      <w:pPr>
        <w:pStyle w:val="BodyText"/>
      </w:pPr>
      <w:r>
        <w:rPr>
          <w:b/>
        </w:rPr>
        <w:t xml:space="preserve">What</w:t>
      </w:r>
      <w:r>
        <w:rPr>
          <w:b/>
        </w:rPr>
        <w:t xml:space="preserve"> </w:t>
      </w:r>
      <w:r>
        <w:rPr>
          <w:b/>
        </w:rPr>
        <w:t xml:space="preserve">“</w:t>
      </w:r>
      <w:r>
        <w:rPr>
          <w:b/>
        </w:rPr>
        <w:t xml:space="preserve">strict liability</w:t>
      </w:r>
      <w:r>
        <w:rPr>
          <w:b/>
        </w:rPr>
        <w:t xml:space="preserve">”</w:t>
      </w:r>
      <w:r>
        <w:rPr>
          <w:b/>
        </w:rPr>
        <w:t xml:space="preserve"> </w:t>
      </w:r>
      <w:r>
        <w:rPr>
          <w:b/>
        </w:rPr>
        <w:t xml:space="preserve">means:</w:t>
      </w:r>
    </w:p>
    <w:p>
      <w:pPr>
        <w:numPr>
          <w:ilvl w:val="0"/>
          <w:numId w:val="1008"/>
        </w:numPr>
        <w:pStyle w:val="Compact"/>
      </w:pPr>
      <w:r>
        <w:t xml:space="preserve">If your software has a</w:t>
      </w:r>
      <w:r>
        <w:t xml:space="preserve"> </w:t>
      </w:r>
      <w:r>
        <w:t xml:space="preserve">“</w:t>
      </w:r>
      <w:r>
        <w:t xml:space="preserve">defect</w:t>
      </w:r>
      <w:r>
        <w:t xml:space="preserve">”</w:t>
      </w:r>
      <w:r>
        <w:t xml:space="preserve"> </w:t>
      </w:r>
      <w:r>
        <w:t xml:space="preserve">that causes damage, you are liable regardless of fault</w:t>
      </w:r>
    </w:p>
    <w:p>
      <w:pPr>
        <w:numPr>
          <w:ilvl w:val="0"/>
          <w:numId w:val="1008"/>
        </w:numPr>
        <w:pStyle w:val="Compact"/>
      </w:pPr>
      <w:r>
        <w:t xml:space="preserve">You cannot</w:t>
      </w:r>
      <w:r>
        <w:t xml:space="preserve"> </w:t>
      </w:r>
      <w:r>
        <w:t xml:space="preserve">“</w:t>
      </w:r>
      <w:r>
        <w:t xml:space="preserve">contract out</w:t>
      </w:r>
      <w:r>
        <w:t xml:space="preserve">”</w:t>
      </w:r>
      <w:r>
        <w:t xml:space="preserve"> </w:t>
      </w:r>
      <w:r>
        <w:t xml:space="preserve">of this liability for personal injury or property damage in your AGB</w:t>
      </w:r>
    </w:p>
    <w:p>
      <w:pPr>
        <w:numPr>
          <w:ilvl w:val="0"/>
          <w:numId w:val="1008"/>
        </w:numPr>
        <w:pStyle w:val="Compact"/>
      </w:pPr>
      <w:r>
        <w:t xml:space="preserve">The burden of proof is eased for claimants (they must show the defect, the damage, and the causal link — but not your negligence)</w:t>
      </w:r>
    </w:p>
    <w:p>
      <w:pPr>
        <w:pStyle w:val="FirstParagraph"/>
      </w:pPr>
      <w:r>
        <w:rPr>
          <w:b/>
        </w:rPr>
        <w:t xml:space="preserve">Relevance to API proxies and AI translation layers:</w:t>
      </w:r>
    </w:p>
    <w:p>
      <w:pPr>
        <w:numPr>
          <w:ilvl w:val="0"/>
          <w:numId w:val="1009"/>
        </w:numPr>
        <w:pStyle w:val="Compact"/>
      </w:pPr>
      <w:r>
        <w:t xml:space="preserve">If your software mistranslates an API request and this causes harm (e.g., a medical query gets a wrong safety parameter), you are the</w:t>
      </w:r>
      <w:r>
        <w:t xml:space="preserve"> </w:t>
      </w:r>
      <w:r>
        <w:t xml:space="preserve">“</w:t>
      </w:r>
      <w:r>
        <w:t xml:space="preserve">manufacturer</w:t>
      </w:r>
      <w:r>
        <w:t xml:space="preserve">”</w:t>
      </w:r>
      <w:r>
        <w:t xml:space="preserve"> </w:t>
      </w:r>
      <w:r>
        <w:t xml:space="preserve">of the translation layer</w:t>
      </w:r>
    </w:p>
    <w:p>
      <w:pPr>
        <w:numPr>
          <w:ilvl w:val="0"/>
          <w:numId w:val="1009"/>
        </w:numPr>
        <w:pStyle w:val="Compact"/>
      </w:pPr>
      <w:r>
        <w:t xml:space="preserve">The upstream AI provider (e.g., Anthropic) has their own liability, but you have independent liability for the translation defect</w:t>
      </w:r>
    </w:p>
    <w:p>
      <w:pPr>
        <w:pStyle w:val="FirstParagraph"/>
      </w:pPr>
      <w:r>
        <w:rPr>
          <w:b/>
        </w:rPr>
        <w:t xml:space="preserve">Mitigation strategies:</w:t>
      </w:r>
    </w:p>
    <w:p>
      <w:pPr>
        <w:numPr>
          <w:ilvl w:val="0"/>
          <w:numId w:val="1010"/>
        </w:numPr>
        <w:pStyle w:val="Compact"/>
      </w:pPr>
      <w:r>
        <w:t xml:space="preserve">Include an Acceptable Use Policy (AUP) that explicitly bans high-risk use cases (medical, legal, safety-critical infrastructure)</w:t>
      </w:r>
    </w:p>
    <w:p>
      <w:pPr>
        <w:numPr>
          <w:ilvl w:val="0"/>
          <w:numId w:val="1010"/>
        </w:numPr>
        <w:pStyle w:val="Compact"/>
      </w:pPr>
      <w:r>
        <w:t xml:space="preserve">Document</w:t>
      </w:r>
      <w:r>
        <w:t xml:space="preserve"> </w:t>
      </w:r>
      <w:r>
        <w:t xml:space="preserve">“</w:t>
      </w:r>
      <w:r>
        <w:t xml:space="preserve">Intended Use</w:t>
      </w:r>
      <w:r>
        <w:t xml:space="preserve">”</w:t>
      </w:r>
      <w:r>
        <w:t xml:space="preserve"> </w:t>
      </w:r>
      <w:r>
        <w:t xml:space="preserve">(Bestimmungsgemaesse Verwendung) narrowly</w:t>
      </w:r>
    </w:p>
    <w:p>
      <w:pPr>
        <w:numPr>
          <w:ilvl w:val="0"/>
          <w:numId w:val="1010"/>
        </w:numPr>
        <w:pStyle w:val="Compact"/>
      </w:pPr>
      <w:r>
        <w:t xml:space="preserve">Budget for product liability insurance (Produkthaftpflichtversicherung)</w:t>
      </w:r>
    </w:p>
    <w:p>
      <w:pPr>
        <w:numPr>
          <w:ilvl w:val="0"/>
          <w:numId w:val="1010"/>
        </w:numPr>
        <w:pStyle w:val="Compact"/>
      </w:pPr>
      <w:r>
        <w:t xml:space="preserve">Ensure thorough testing of any translation or transformation logic</w:t>
      </w:r>
    </w:p>
    <w:p>
      <w:pPr>
        <w:pStyle w:val="Heading1"/>
      </w:pPr>
      <w:bookmarkStart w:id="29" w:name="eu-ai-act-relevance-for-ki-startups"/>
      <w:r>
        <w:t xml:space="preserve">4. EU AI Act — Relevance for KI Startups</w:t>
      </w:r>
      <w:bookmarkEnd w:id="29"/>
    </w:p>
    <w:p>
      <w:pPr>
        <w:pStyle w:val="FirstParagraph"/>
      </w:pPr>
      <w:r>
        <w:rPr>
          <w:b/>
        </w:rPr>
        <w:t xml:space="preserve">Key question: Are you a</w:t>
      </w:r>
      <w:r>
        <w:rPr>
          <w:b/>
        </w:rPr>
        <w:t xml:space="preserve"> </w:t>
      </w:r>
      <w:r>
        <w:rPr>
          <w:b/>
        </w:rPr>
        <w:t xml:space="preserve">“</w:t>
      </w:r>
      <w:r>
        <w:rPr>
          <w:b/>
        </w:rPr>
        <w:t xml:space="preserve">Provider</w:t>
      </w:r>
      <w:r>
        <w:rPr>
          <w:b/>
        </w:rPr>
        <w:t xml:space="preserve">”</w:t>
      </w:r>
      <w:r>
        <w:rPr>
          <w:b/>
        </w:rPr>
        <w:t xml:space="preserve"> </w:t>
      </w:r>
      <w:r>
        <w:rPr>
          <w:b/>
        </w:rPr>
        <w:t xml:space="preserve">or a</w:t>
      </w:r>
      <w:r>
        <w:rPr>
          <w:b/>
        </w:rPr>
        <w:t xml:space="preserve"> </w:t>
      </w:r>
      <w:r>
        <w:rPr>
          <w:b/>
        </w:rPr>
        <w:t xml:space="preserve">“</w:t>
      </w:r>
      <w:r>
        <w:rPr>
          <w:b/>
        </w:rPr>
        <w:t xml:space="preserve">Deployer</w:t>
      </w:r>
      <w:r>
        <w:rPr>
          <w:b/>
        </w:rPr>
        <w:t xml:space="preserve">”</w:t>
      </w:r>
      <w:r>
        <w:rPr>
          <w:b/>
        </w:rPr>
        <w:t xml:space="preserve">?</w:t>
      </w:r>
    </w:p>
    <w:p>
      <w:pPr>
        <w:numPr>
          <w:ilvl w:val="0"/>
          <w:numId w:val="1011"/>
        </w:numPr>
        <w:pStyle w:val="Compact"/>
      </w:pPr>
      <w:r>
        <w:rPr>
          <w:b/>
        </w:rPr>
        <w:t xml:space="preserve">Provider (Anbieter):</w:t>
      </w:r>
      <w:r>
        <w:t xml:space="preserve"> </w:t>
      </w:r>
      <w:r>
        <w:t xml:space="preserve">The entity that develops or commissions an AI system and places it on the market. Carries the heaviest compliance burden.</w:t>
      </w:r>
    </w:p>
    <w:p>
      <w:pPr>
        <w:numPr>
          <w:ilvl w:val="0"/>
          <w:numId w:val="1011"/>
        </w:numPr>
        <w:pStyle w:val="Compact"/>
      </w:pPr>
      <w:r>
        <w:rPr>
          <w:b/>
        </w:rPr>
        <w:t xml:space="preserve">Deployer (Betreiber):</w:t>
      </w:r>
      <w:r>
        <w:t xml:space="preserve"> </w:t>
      </w:r>
      <w:r>
        <w:t xml:space="preserve">The entity that uses an AI system under the authority of a Provider.</w:t>
      </w:r>
    </w:p>
    <w:p>
      <w:pPr>
        <w:pStyle w:val="FirstParagraph"/>
      </w:pPr>
      <w:r>
        <w:rPr>
          <w:b/>
        </w:rPr>
        <w:t xml:space="preserve">For API proxy/translation services:</w:t>
      </w:r>
      <w:r>
        <w:t xml:space="preserve"> </w:t>
      </w:r>
      <w:r>
        <w:t xml:space="preserve">You are likely a</w:t>
      </w:r>
      <w:r>
        <w:t xml:space="preserve"> </w:t>
      </w:r>
      <w:r>
        <w:t xml:space="preserve">“</w:t>
      </w:r>
      <w:r>
        <w:t xml:space="preserve">Deployer</w:t>
      </w:r>
      <w:r>
        <w:t xml:space="preserve">”</w:t>
      </w:r>
      <w:r>
        <w:t xml:space="preserve"> </w:t>
      </w:r>
      <w:r>
        <w:t xml:space="preserve">or</w:t>
      </w:r>
      <w:r>
        <w:t xml:space="preserve"> </w:t>
      </w:r>
      <w:r>
        <w:t xml:space="preserve">“</w:t>
      </w:r>
      <w:r>
        <w:t xml:space="preserve">Provider of a related service</w:t>
      </w:r>
      <w:r>
        <w:t xml:space="preserve">”</w:t>
      </w:r>
      <w:r>
        <w:t xml:space="preserve"> </w:t>
      </w:r>
      <w:r>
        <w:t xml:space="preserve">— NOT a GPAI (General Purpose AI) Provider. That classification belongs to Anthropic, OpenAI, etc.</w:t>
      </w:r>
    </w:p>
    <w:p>
      <w:pPr>
        <w:pStyle w:val="BodyText"/>
      </w:pPr>
      <w:r>
        <w:rPr>
          <w:b/>
        </w:rPr>
        <w:t xml:space="preserve">However:</w:t>
      </w:r>
      <w:r>
        <w:t xml:space="preserve"> </w:t>
      </w:r>
      <w:r>
        <w:t xml:space="preserve">If your proxy modifies the</w:t>
      </w:r>
      <w:r>
        <w:t xml:space="preserve"> </w:t>
      </w:r>
      <w:r>
        <w:t xml:space="preserve">“</w:t>
      </w:r>
      <w:r>
        <w:t xml:space="preserve">intended purpose</w:t>
      </w:r>
      <w:r>
        <w:t xml:space="preserve">”</w:t>
      </w:r>
      <w:r>
        <w:t xml:space="preserve"> </w:t>
      </w:r>
      <w:r>
        <w:t xml:space="preserve">of the AI model (e.g., by altering safety parameters, transforming outputs in ways that change the model’s behavior), you could be reclassified as a</w:t>
      </w:r>
      <w:r>
        <w:t xml:space="preserve"> </w:t>
      </w:r>
      <w:r>
        <w:t xml:space="preserve">“</w:t>
      </w:r>
      <w:r>
        <w:t xml:space="preserve">Provider.</w:t>
      </w:r>
      <w:r>
        <w:t xml:space="preserve">”</w:t>
      </w:r>
      <w:r>
        <w:t xml:space="preserve"> </w:t>
      </w:r>
      <w:r>
        <w:t xml:space="preserve">This triggers significant compliance requirements.</w:t>
      </w:r>
    </w:p>
    <w:p>
      <w:pPr>
        <w:pStyle w:val="BodyText"/>
      </w:pPr>
      <w:r>
        <w:rPr>
          <w:b/>
        </w:rPr>
        <w:t xml:space="preserve">Safe practice:</w:t>
      </w:r>
    </w:p>
    <w:p>
      <w:pPr>
        <w:numPr>
          <w:ilvl w:val="0"/>
          <w:numId w:val="1012"/>
        </w:numPr>
        <w:pStyle w:val="Compact"/>
      </w:pPr>
      <w:r>
        <w:t xml:space="preserve">Ensure all translation is format-only (schema mapping), not content or behavior modification</w:t>
      </w:r>
    </w:p>
    <w:p>
      <w:pPr>
        <w:numPr>
          <w:ilvl w:val="0"/>
          <w:numId w:val="1012"/>
        </w:numPr>
        <w:pStyle w:val="Compact"/>
      </w:pPr>
      <w:r>
        <w:t xml:space="preserve">Document this clearly in technical documentation</w:t>
      </w:r>
    </w:p>
    <w:p>
      <w:pPr>
        <w:numPr>
          <w:ilvl w:val="0"/>
          <w:numId w:val="1012"/>
        </w:numPr>
        <w:pStyle w:val="Compact"/>
      </w:pPr>
      <w:r>
        <w:t xml:space="preserve">Monitor EU AI Act implementation timeline (rolling enforcement through 2026–2027)</w:t>
      </w:r>
    </w:p>
    <w:p>
      <w:pPr>
        <w:pStyle w:val="Heading1"/>
      </w:pPr>
      <w:bookmarkStart w:id="30" w:name="X370d30305a619b0085b55b9d388cc4e4054731e"/>
      <w:r>
        <w:t xml:space="preserve">5. Technical and Organizational Measures (TOMs)</w:t>
      </w:r>
      <w:bookmarkEnd w:id="30"/>
    </w:p>
    <w:p>
      <w:pPr>
        <w:pStyle w:val="FirstParagraph"/>
      </w:pPr>
      <w:r>
        <w:t xml:space="preserve">Any SaaS that handles sensitive data (API keys, personal data, authentication tokens) needs a TOMs document. This is required as an annex to your AVV and referenced in your Privacy Policy.</w:t>
      </w:r>
    </w:p>
    <w:p>
      <w:pPr>
        <w:pStyle w:val="BodyText"/>
      </w:pPr>
      <w:r>
        <w:rPr>
          <w:b/>
        </w:rPr>
        <w:t xml:space="preserve">Template for RAM-only API key handling:</w:t>
      </w:r>
    </w:p>
    <w:p>
      <w:pPr>
        <w:pStyle w:val="BodyText"/>
      </w:pPr>
      <w:r>
        <w:rPr>
          <w:b/>
        </w:rPr>
        <w:t xml:space="preserve">Data Processing in Volatile Memory (RAM):</w:t>
      </w:r>
    </w:p>
    <w:p>
      <w:pPr>
        <w:numPr>
          <w:ilvl w:val="0"/>
          <w:numId w:val="1013"/>
        </w:numPr>
        <w:pStyle w:val="Compact"/>
      </w:pPr>
      <w:r>
        <w:rPr>
          <w:i/>
        </w:rPr>
        <w:t xml:space="preserve">Isolation:</w:t>
      </w:r>
      <w:r>
        <w:t xml:space="preserve"> </w:t>
      </w:r>
      <w:r>
        <w:t xml:space="preserve">Each request is processed in an isolated execution environment (e.g., Fly.io Machine, Docker container). No shared state between customer requests.</w:t>
      </w:r>
    </w:p>
    <w:p>
      <w:pPr>
        <w:numPr>
          <w:ilvl w:val="0"/>
          <w:numId w:val="1013"/>
        </w:numPr>
        <w:pStyle w:val="Compact"/>
      </w:pPr>
      <w:r>
        <w:rPr>
          <w:i/>
        </w:rPr>
        <w:t xml:space="preserve">Persistence:</w:t>
      </w:r>
      <w:r>
        <w:t xml:space="preserve"> </w:t>
      </w:r>
      <w:r>
        <w:t xml:space="preserve">No secrets, API keys, or request/response bodies are written to persistent storage (HDD/SSD). All sensitive data exists only in volatile RAM for the duration of the request.</w:t>
      </w:r>
    </w:p>
    <w:p>
      <w:pPr>
        <w:numPr>
          <w:ilvl w:val="0"/>
          <w:numId w:val="1013"/>
        </w:numPr>
        <w:pStyle w:val="Compact"/>
      </w:pPr>
      <w:r>
        <w:rPr>
          <w:i/>
        </w:rPr>
        <w:t xml:space="preserve">Logging:</w:t>
      </w:r>
      <w:r>
        <w:t xml:space="preserve"> </w:t>
      </w:r>
      <w:r>
        <w:t xml:space="preserve">Selective metadata logging only. All headers containing</w:t>
      </w:r>
      <w:r>
        <w:t xml:space="preserve"> </w:t>
      </w:r>
      <w:r>
        <w:t xml:space="preserve">“</w:t>
      </w:r>
      <w:r>
        <w:t xml:space="preserve">Authorization</w:t>
      </w:r>
      <w:r>
        <w:t xml:space="preserve">”</w:t>
      </w:r>
      <w:r>
        <w:t xml:space="preserve"> </w:t>
      </w:r>
      <w:r>
        <w:t xml:space="preserve">or</w:t>
      </w:r>
      <w:r>
        <w:t xml:space="preserve"> </w:t>
      </w:r>
      <w:r>
        <w:t xml:space="preserve">“</w:t>
      </w:r>
      <w:r>
        <w:t xml:space="preserve">X-Api-Key</w:t>
      </w:r>
      <w:r>
        <w:t xml:space="preserve">”</w:t>
      </w:r>
      <w:r>
        <w:t xml:space="preserve"> </w:t>
      </w:r>
      <w:r>
        <w:t xml:space="preserve">are redacted at the load-balancer level before reaching application logs.</w:t>
      </w:r>
    </w:p>
    <w:p>
      <w:pPr>
        <w:numPr>
          <w:ilvl w:val="0"/>
          <w:numId w:val="1013"/>
        </w:numPr>
        <w:pStyle w:val="Compact"/>
      </w:pPr>
      <w:r>
        <w:rPr>
          <w:i/>
        </w:rPr>
        <w:t xml:space="preserve">Encryption in Transit:</w:t>
      </w:r>
      <w:r>
        <w:t xml:space="preserve"> </w:t>
      </w:r>
      <w:r>
        <w:t xml:space="preserve">All data in transit is encrypted via TLS 1.3.</w:t>
      </w:r>
    </w:p>
    <w:p>
      <w:pPr>
        <w:numPr>
          <w:ilvl w:val="0"/>
          <w:numId w:val="1013"/>
        </w:numPr>
        <w:pStyle w:val="Compact"/>
      </w:pPr>
      <w:r>
        <w:rPr>
          <w:i/>
        </w:rPr>
        <w:t xml:space="preserve">Encryption at Rest:</w:t>
      </w:r>
      <w:r>
        <w:t xml:space="preserve"> </w:t>
      </w:r>
      <w:r>
        <w:t xml:space="preserve">Not applicable — sensitive data is never written to disk.</w:t>
      </w:r>
    </w:p>
    <w:p>
      <w:pPr>
        <w:numPr>
          <w:ilvl w:val="0"/>
          <w:numId w:val="1013"/>
        </w:numPr>
        <w:pStyle w:val="Compact"/>
      </w:pPr>
      <w:r>
        <w:rPr>
          <w:i/>
        </w:rPr>
        <w:t xml:space="preserve">Access Control:</w:t>
      </w:r>
      <w:r>
        <w:t xml:space="preserve"> </w:t>
      </w:r>
      <w:r>
        <w:t xml:space="preserve">Infrastructure access limited to the managing director. SSH keys rotated quarterly. No shared credentials.</w:t>
      </w:r>
    </w:p>
    <w:p>
      <w:pPr>
        <w:numPr>
          <w:ilvl w:val="0"/>
          <w:numId w:val="1013"/>
        </w:numPr>
        <w:pStyle w:val="Compact"/>
      </w:pPr>
      <w:r>
        <w:rPr>
          <w:i/>
        </w:rPr>
        <w:t xml:space="preserve">Incident Response:</w:t>
      </w:r>
      <w:r>
        <w:t xml:space="preserve"> </w:t>
      </w:r>
      <w:r>
        <w:t xml:space="preserve">Monitoring via application health checks. Customer notification within 72 hours of a confirmed breach (GDPR Art. 33/34).</w:t>
      </w:r>
    </w:p>
    <w:p>
      <w:pPr>
        <w:pStyle w:val="Heading1"/>
      </w:pPr>
      <w:bookmarkStart w:id="31" w:name="vat-and-tax-obligations"/>
      <w:r>
        <w:t xml:space="preserve">6. VAT and Tax Obligations</w:t>
      </w:r>
      <w:bookmarkEnd w:id="31"/>
    </w:p>
    <w:p>
      <w:pPr>
        <w:pStyle w:val="Heading2"/>
      </w:pPr>
      <w:bookmarkStart w:id="32" w:name="Xd7ca09ce53869c0f5ad09870759e1d2047972f5"/>
      <w:r>
        <w:t xml:space="preserve">6.1 Regelbesteuerung vs. Kleinunternehmerregelung</w:t>
      </w:r>
      <w:bookmarkEnd w:id="32"/>
    </w:p>
    <w:p>
      <w:pPr>
        <w:pStyle w:val="FirstParagraph"/>
      </w:pPr>
      <w:r>
        <w:t xml:space="preserve">German small businesses can opt for the Kleinunternehmerregelung (small business exemption) if revenue stays below EUR 25,000 per year (threshold as of 2025). This exempts you from charging VAT.</w:t>
      </w:r>
    </w:p>
    <w:p>
      <w:pPr>
        <w:pStyle w:val="BodyText"/>
      </w:pPr>
      <w:r>
        <w:rPr>
          <w:b/>
        </w:rPr>
        <w:t xml:space="preserve">Why we chose Regelbesteuerung (standard taxation) from day one:</w:t>
      </w:r>
    </w:p>
    <w:p>
      <w:pPr>
        <w:numPr>
          <w:ilvl w:val="0"/>
          <w:numId w:val="1014"/>
        </w:numPr>
        <w:pStyle w:val="Compact"/>
      </w:pPr>
      <w:r>
        <w:t xml:space="preserve">Avoids the disruptive switchover when revenue crosses the threshold</w:t>
      </w:r>
    </w:p>
    <w:p>
      <w:pPr>
        <w:numPr>
          <w:ilvl w:val="0"/>
          <w:numId w:val="1014"/>
        </w:numPr>
        <w:pStyle w:val="Compact"/>
      </w:pPr>
      <w:r>
        <w:t xml:space="preserve">No retroactive recalculation needed</w:t>
      </w:r>
    </w:p>
    <w:p>
      <w:pPr>
        <w:numPr>
          <w:ilvl w:val="0"/>
          <w:numId w:val="1014"/>
        </w:numPr>
        <w:pStyle w:val="Compact"/>
      </w:pPr>
      <w:r>
        <w:t xml:space="preserve">Cleaner Stripe invoice configuration</w:t>
      </w:r>
    </w:p>
    <w:p>
      <w:pPr>
        <w:numPr>
          <w:ilvl w:val="0"/>
          <w:numId w:val="1014"/>
        </w:numPr>
        <w:pStyle w:val="Compact"/>
      </w:pPr>
      <w:r>
        <w:t xml:space="preserve">More professional appearance to B2B customers (who can deduct input VAT anyway)</w:t>
      </w:r>
    </w:p>
    <w:p>
      <w:pPr>
        <w:pStyle w:val="Heading2"/>
      </w:pPr>
      <w:bookmarkStart w:id="33" w:name="vat-rates-and-rules"/>
      <w:r>
        <w:t xml:space="preserve">6.2 VAT Rates and Rules</w:t>
      </w:r>
      <w:bookmarkEnd w:id="33"/>
    </w:p>
    <w:p>
      <w:pPr>
        <w:numPr>
          <w:ilvl w:val="0"/>
          <w:numId w:val="1015"/>
        </w:numPr>
        <w:pStyle w:val="Compact"/>
      </w:pPr>
      <w:r>
        <w:rPr>
          <w:b/>
        </w:rPr>
        <w:t xml:space="preserve">German/EU B2C customers:</w:t>
      </w:r>
      <w:r>
        <w:t xml:space="preserve"> </w:t>
      </w:r>
      <w:r>
        <w:t xml:space="preserve">Charge 19% VAT (standard rate)</w:t>
      </w:r>
    </w:p>
    <w:p>
      <w:pPr>
        <w:numPr>
          <w:ilvl w:val="0"/>
          <w:numId w:val="1015"/>
        </w:numPr>
        <w:pStyle w:val="Compact"/>
      </w:pPr>
      <w:r>
        <w:rPr>
          <w:b/>
        </w:rPr>
        <w:t xml:space="preserve">EU B2B customers (with valid USt-ID):</w:t>
      </w:r>
      <w:r>
        <w:t xml:space="preserve"> </w:t>
      </w:r>
      <w:r>
        <w:t xml:space="preserve">Reverse charge — customer self-assesses VAT. Invoice must include both USt-IDs and the note</w:t>
      </w:r>
      <w:r>
        <w:t xml:space="preserve"> </w:t>
      </w:r>
      <w:r>
        <w:t xml:space="preserve">“</w:t>
      </w:r>
      <w:r>
        <w:t xml:space="preserve">Steuerschuldnerschaft des Leistungsempfaengers (Reverse Charge)</w:t>
      </w:r>
      <w:r>
        <w:t xml:space="preserve">”</w:t>
      </w:r>
    </w:p>
    <w:p>
      <w:pPr>
        <w:numPr>
          <w:ilvl w:val="0"/>
          <w:numId w:val="1015"/>
        </w:numPr>
        <w:pStyle w:val="Compact"/>
      </w:pPr>
      <w:r>
        <w:rPr>
          <w:b/>
        </w:rPr>
        <w:t xml:space="preserve">Non-EU customers:</w:t>
      </w:r>
      <w:r>
        <w:t xml:space="preserve"> </w:t>
      </w:r>
      <w:r>
        <w:t xml:space="preserve">0% VAT</w:t>
      </w:r>
    </w:p>
    <w:p>
      <w:pPr>
        <w:pStyle w:val="FirstParagraph"/>
      </w:pPr>
      <w:r>
        <w:rPr>
          <w:b/>
        </w:rPr>
        <w:t xml:space="preserve">Critical: Validate EU VAT IDs via VIES API in real-time.</w:t>
      </w:r>
      <w:r>
        <w:t xml:space="preserve"> </w:t>
      </w:r>
      <w:r>
        <w:t xml:space="preserve">If you fail to validate and the ID is invalid, the Finanzamt treats it as a domestic sale and demands 19% VAT from you.</w:t>
      </w:r>
    </w:p>
    <w:p>
      <w:pPr>
        <w:pStyle w:val="Heading2"/>
      </w:pPr>
      <w:bookmarkStart w:id="34" w:name="filing-obligations"/>
      <w:r>
        <w:t xml:space="preserve">6.3 Filing Obligations</w:t>
      </w:r>
      <w:bookmarkEnd w:id="34"/>
    </w:p>
    <w:p>
      <w:pPr>
        <w:numPr>
          <w:ilvl w:val="0"/>
          <w:numId w:val="1016"/>
        </w:numPr>
        <w:pStyle w:val="Compact"/>
      </w:pPr>
      <w:r>
        <w:rPr>
          <w:b/>
        </w:rPr>
        <w:t xml:space="preserve">Quarterly:</w:t>
      </w:r>
      <w:r>
        <w:t xml:space="preserve"> </w:t>
      </w:r>
      <w:r>
        <w:t xml:space="preserve">UStVA (Umsatzsteuer-Voranmeldung) via ELSTER</w:t>
      </w:r>
    </w:p>
    <w:p>
      <w:pPr>
        <w:numPr>
          <w:ilvl w:val="0"/>
          <w:numId w:val="1016"/>
        </w:numPr>
        <w:pStyle w:val="Compact"/>
      </w:pPr>
      <w:r>
        <w:rPr>
          <w:b/>
        </w:rPr>
        <w:t xml:space="preserve">Quarterly/Monthly:</w:t>
      </w:r>
      <w:r>
        <w:t xml:space="preserve"> </w:t>
      </w:r>
      <w:r>
        <w:t xml:space="preserve">Zusammenfassende Meldung (ZM) for EU B2B sales</w:t>
      </w:r>
    </w:p>
    <w:p>
      <w:pPr>
        <w:numPr>
          <w:ilvl w:val="0"/>
          <w:numId w:val="1016"/>
        </w:numPr>
        <w:pStyle w:val="Compact"/>
      </w:pPr>
      <w:r>
        <w:rPr>
          <w:b/>
        </w:rPr>
        <w:t xml:space="preserve">Annually:</w:t>
      </w:r>
      <w:r>
        <w:t xml:space="preserve"> </w:t>
      </w:r>
      <w:r>
        <w:t xml:space="preserve">USt-Erklaerung (annual VAT return)</w:t>
      </w:r>
    </w:p>
    <w:p>
      <w:pPr>
        <w:numPr>
          <w:ilvl w:val="0"/>
          <w:numId w:val="1016"/>
        </w:numPr>
        <w:pStyle w:val="Compact"/>
      </w:pPr>
      <w:r>
        <w:rPr>
          <w:b/>
        </w:rPr>
        <w:t xml:space="preserve">Annually:</w:t>
      </w:r>
      <w:r>
        <w:t xml:space="preserve"> </w:t>
      </w:r>
      <w:r>
        <w:t xml:space="preserve">Koerperschaftsteuer-Erklaerung (corporate income tax)</w:t>
      </w:r>
    </w:p>
    <w:p>
      <w:pPr>
        <w:numPr>
          <w:ilvl w:val="0"/>
          <w:numId w:val="1016"/>
        </w:numPr>
        <w:pStyle w:val="Compact"/>
      </w:pPr>
      <w:r>
        <w:rPr>
          <w:b/>
        </w:rPr>
        <w:t xml:space="preserve">Annually:</w:t>
      </w:r>
      <w:r>
        <w:t xml:space="preserve"> </w:t>
      </w:r>
      <w:r>
        <w:t xml:space="preserve">Gewerbesteuer-Erklaerung (trade tax)</w:t>
      </w:r>
    </w:p>
    <w:p>
      <w:pPr>
        <w:pStyle w:val="FirstParagraph"/>
      </w:pPr>
      <w:r>
        <w:rPr>
          <w:b/>
        </w:rPr>
        <w:t xml:space="preserve">Recommendation:</w:t>
      </w:r>
      <w:r>
        <w:t xml:space="preserve"> </w:t>
      </w:r>
      <w:r>
        <w:t xml:space="preserve">Engage a Steuerberater from day one for a German UG selling B2B SaaS across the EU. The intersection of reverse charge, ViDA e-invoicing, and Zusammenfassende Meldung is not trivial.</w:t>
      </w:r>
    </w:p>
    <w:p>
      <w:pPr>
        <w:pStyle w:val="Heading2"/>
      </w:pPr>
      <w:bookmarkStart w:id="35" w:name="X6052fa12fa8234491e4c784dd7fc3b8f48b4809"/>
      <w:r>
        <w:t xml:space="preserve">6.4 ViDA E-Invoicing (VAT in the Digital Age) — Verified Timeline</w:t>
      </w:r>
      <w:bookmarkEnd w:id="35"/>
    </w:p>
    <w:p>
      <w:pPr>
        <w:pStyle w:val="FirstParagraph"/>
      </w:pPr>
      <w:r>
        <w:t xml:space="preserve">The EU is moving toward mandatory structured e-invoicing. The German implementation timeline:</w:t>
      </w:r>
    </w:p>
    <w:p>
      <w:pPr>
        <w:numPr>
          <w:ilvl w:val="0"/>
          <w:numId w:val="1017"/>
        </w:numPr>
        <w:pStyle w:val="Compact"/>
      </w:pPr>
      <w:r>
        <w:rPr>
          <w:b/>
        </w:rPr>
        <w:t xml:space="preserve">January 1, 2025:</w:t>
      </w:r>
      <w:r>
        <w:t xml:space="preserve"> </w:t>
      </w:r>
      <w:r>
        <w:t xml:space="preserve">All German businesses must be able to RECEIVE e-invoices</w:t>
      </w:r>
    </w:p>
    <w:p>
      <w:pPr>
        <w:numPr>
          <w:ilvl w:val="0"/>
          <w:numId w:val="1017"/>
        </w:numPr>
        <w:pStyle w:val="Compact"/>
      </w:pPr>
      <w:r>
        <w:rPr>
          <w:b/>
        </w:rPr>
        <w:t xml:space="preserve">January 1, 2027:</w:t>
      </w:r>
      <w:r>
        <w:t xml:space="preserve"> </w:t>
      </w:r>
      <w:r>
        <w:t xml:space="preserve">Companies with turnover above EUR 800,000 must ISSUE e-invoices</w:t>
      </w:r>
    </w:p>
    <w:p>
      <w:pPr>
        <w:numPr>
          <w:ilvl w:val="0"/>
          <w:numId w:val="1017"/>
        </w:numPr>
        <w:pStyle w:val="Compact"/>
      </w:pPr>
      <w:r>
        <w:rPr>
          <w:b/>
        </w:rPr>
        <w:t xml:space="preserve">January 1, 2028:</w:t>
      </w:r>
      <w:r>
        <w:t xml:space="preserve"> </w:t>
      </w:r>
      <w:r>
        <w:t xml:space="preserve">ALL businesses must issue e-invoices</w:t>
      </w:r>
    </w:p>
    <w:p>
      <w:pPr>
        <w:numPr>
          <w:ilvl w:val="0"/>
          <w:numId w:val="1017"/>
        </w:numPr>
        <w:pStyle w:val="Compact"/>
      </w:pPr>
      <w:r>
        <w:rPr>
          <w:b/>
        </w:rPr>
        <w:t xml:space="preserve">July 1, 2030:</w:t>
      </w:r>
      <w:r>
        <w:t xml:space="preserve"> </w:t>
      </w:r>
      <w:r>
        <w:t xml:space="preserve">EU-wide mandatory e-invoicing for intra-Community B2B (ViDA)</w:t>
      </w:r>
    </w:p>
    <w:p>
      <w:pPr>
        <w:pStyle w:val="FirstParagraph"/>
      </w:pPr>
      <w:r>
        <w:rPr>
          <w:b/>
        </w:rPr>
        <w:t xml:space="preserve">Acceptable formats:</w:t>
      </w:r>
      <w:r>
        <w:t xml:space="preserve"> </w:t>
      </w:r>
      <w:r>
        <w:t xml:space="preserve">XRechnung (pure XML) or ZUGFeRD 2.0.1+ (hybrid PDF with embedded XML). Both comply with EN 16931.</w:t>
      </w:r>
    </w:p>
    <w:p>
      <w:pPr>
        <w:pStyle w:val="BodyText"/>
      </w:pPr>
      <w:r>
        <w:rPr>
          <w:b/>
        </w:rPr>
        <w:t xml:space="preserve">For micro-SaaS:</w:t>
      </w:r>
      <w:r>
        <w:t xml:space="preserve"> </w:t>
      </w:r>
      <w:r>
        <w:t xml:space="preserve">If your turnover is below EUR 800,000 (likely at launch), mandatory issuance does not hit until 2028. But setting up ZUGFeRD-compatible invoicing early via Stripe avoids a painful migration later.</w:t>
      </w:r>
    </w:p>
    <w:p>
      <w:pPr>
        <w:pStyle w:val="Heading2"/>
      </w:pPr>
      <w:bookmarkStart w:id="36" w:name="invoice-requirements-sec.-14-ustg"/>
      <w:r>
        <w:t xml:space="preserve">6.5 Invoice Requirements (Sec. 14 UStG)</w:t>
      </w:r>
      <w:bookmarkEnd w:id="36"/>
    </w:p>
    <w:p>
      <w:pPr>
        <w:pStyle w:val="FirstParagraph"/>
      </w:pPr>
      <w:r>
        <w:t xml:space="preserve">Every invoice must include: sequential invoice number, invoice date, your UG name and address, tax IDs (Steuernummer and/or USt-ID), customer name and address, service description, net amount, VAT rate and amount, gross amount.</w:t>
      </w:r>
    </w:p>
    <w:p>
      <w:pPr>
        <w:pStyle w:val="BodyText"/>
      </w:pPr>
      <w:r>
        <w:t xml:space="preserve">Stripe can auto-generate Sec. 14 UStG-compliant invoices — verify the first few manually against the requirements.</w:t>
      </w:r>
    </w:p>
    <w:p>
      <w:pPr>
        <w:pStyle w:val="Heading1"/>
      </w:pPr>
      <w:bookmarkStart w:id="37" w:name="X4413d2b4948f4499afc7ab41a35b6822e5c4536"/>
      <w:r>
        <w:t xml:space="preserve">7. DDG Compliance (Digital Services Act, German Implementation)</w:t>
      </w:r>
      <w:bookmarkEnd w:id="37"/>
    </w:p>
    <w:p>
      <w:pPr>
        <w:pStyle w:val="Heading2"/>
      </w:pPr>
      <w:bookmarkStart w:id="38" w:name="commercial-communications-sec.-6-ddg"/>
      <w:r>
        <w:t xml:space="preserve">7.1 Commercial Communications (Sec. 6 DDG)</w:t>
      </w:r>
      <w:bookmarkEnd w:id="38"/>
    </w:p>
    <w:p>
      <w:pPr>
        <w:pStyle w:val="FirstParagraph"/>
      </w:pPr>
      <w:r>
        <w:t xml:space="preserve">If you send commercial emails (waitlist notifications, marketing, product updates), every email must have a clear opt-out/unsubscribe link. This is required by Sec. 6 DDG and the UWG (Gesetz gegen den unlauteren Wettbewerb / Unfair Competition Act).</w:t>
      </w:r>
    </w:p>
    <w:p>
      <w:pPr>
        <w:pStyle w:val="BodyText"/>
      </w:pPr>
      <w:r>
        <w:rPr>
          <w:b/>
        </w:rPr>
        <w:t xml:space="preserve">Risk:</w:t>
      </w:r>
      <w:r>
        <w:t xml:space="preserve"> </w:t>
      </w:r>
      <w:r>
        <w:t xml:space="preserve">Abmahnung from specialized law firms or consumer protection groups. Cost: EUR 500–1,500 per incident.</w:t>
      </w:r>
    </w:p>
    <w:p>
      <w:pPr>
        <w:pStyle w:val="BodyText"/>
      </w:pPr>
      <w:r>
        <w:rPr>
          <w:b/>
        </w:rPr>
        <w:t xml:space="preserve">Practical:</w:t>
      </w:r>
      <w:r>
        <w:t xml:space="preserve"> </w:t>
      </w:r>
      <w:r>
        <w:t xml:space="preserve">Use a reputable email provider (Buttondown, Mailchimp, etc.) that includes unsubscribe links by default. Add an explicit opt-in checkbox on signup forms.</w:t>
      </w:r>
    </w:p>
    <w:p>
      <w:pPr>
        <w:pStyle w:val="Heading2"/>
      </w:pPr>
      <w:bookmarkStart w:id="39" w:name="cookie-consent"/>
      <w:r>
        <w:t xml:space="preserve">7.2 Cookie Consent</w:t>
      </w:r>
      <w:bookmarkEnd w:id="39"/>
    </w:p>
    <w:p>
      <w:pPr>
        <w:pStyle w:val="FirstParagraph"/>
      </w:pPr>
      <w:r>
        <w:t xml:space="preserve">Under TDDDG, cookies and tracking technologies require informed consent (opt-in) unless they are strictly necessary for the service. Analytics cookies, advertising trackers, and social media embeds all require consent.</w:t>
      </w:r>
    </w:p>
    <w:p>
      <w:pPr>
        <w:pStyle w:val="BodyText"/>
      </w:pPr>
      <w:r>
        <w:rPr>
          <w:b/>
        </w:rPr>
        <w:t xml:space="preserve">For a SaaS with no tracking:</w:t>
      </w:r>
      <w:r>
        <w:t xml:space="preserve"> </w:t>
      </w:r>
      <w:r>
        <w:t xml:space="preserve">If your site uses no analytics, no advertising, and no third-party trackers, you may not need a cookie banner at all. Document this decision.</w:t>
      </w:r>
    </w:p>
    <w:p>
      <w:pPr>
        <w:pStyle w:val="Heading1"/>
      </w:pPr>
      <w:bookmarkStart w:id="40" w:name="gdpr-considerations-for-apiai-services"/>
      <w:r>
        <w:t xml:space="preserve">8. GDPR Considerations for API/AI Services</w:t>
      </w:r>
      <w:bookmarkEnd w:id="40"/>
    </w:p>
    <w:p>
      <w:pPr>
        <w:pStyle w:val="Heading2"/>
      </w:pPr>
      <w:bookmarkStart w:id="41" w:name="international-data-transfers"/>
      <w:r>
        <w:t xml:space="preserve">8.1 International Data Transfers</w:t>
      </w:r>
      <w:bookmarkEnd w:id="41"/>
    </w:p>
    <w:p>
      <w:pPr>
        <w:pStyle w:val="FirstParagraph"/>
      </w:pPr>
      <w:r>
        <w:t xml:space="preserve">If your SaaS forwards data to US-based services (Anthropic, AWS, etc.), this constitutes an international data transfer under GDPR. You need a legal basis:</w:t>
      </w:r>
    </w:p>
    <w:p>
      <w:pPr>
        <w:numPr>
          <w:ilvl w:val="0"/>
          <w:numId w:val="1018"/>
        </w:numPr>
        <w:pStyle w:val="Compact"/>
      </w:pPr>
      <w:r>
        <w:rPr>
          <w:b/>
        </w:rPr>
        <w:t xml:space="preserve">EU-US Data Privacy Framework (DPF):</w:t>
      </w:r>
      <w:r>
        <w:t xml:space="preserve"> </w:t>
      </w:r>
      <w:r>
        <w:t xml:space="preserve">If the US provider is DPF-certified, this provides adequate protection</w:t>
      </w:r>
    </w:p>
    <w:p>
      <w:pPr>
        <w:numPr>
          <w:ilvl w:val="0"/>
          <w:numId w:val="1018"/>
        </w:numPr>
        <w:pStyle w:val="Compact"/>
      </w:pPr>
      <w:r>
        <w:rPr>
          <w:b/>
        </w:rPr>
        <w:t xml:space="preserve">Standard Contractual Clauses (SCCs):</w:t>
      </w:r>
      <w:r>
        <w:t xml:space="preserve"> </w:t>
      </w:r>
      <w:r>
        <w:t xml:space="preserve">Fallback if DPF does not apply</w:t>
      </w:r>
    </w:p>
    <w:p>
      <w:pPr>
        <w:numPr>
          <w:ilvl w:val="0"/>
          <w:numId w:val="1018"/>
        </w:numPr>
        <w:pStyle w:val="Compact"/>
      </w:pPr>
      <w:r>
        <w:rPr>
          <w:b/>
        </w:rPr>
        <w:t xml:space="preserve">Binding Corporate Rules:</w:t>
      </w:r>
      <w:r>
        <w:t xml:space="preserve"> </w:t>
      </w:r>
      <w:r>
        <w:t xml:space="preserve">For enterprise providers</w:t>
      </w:r>
    </w:p>
    <w:p>
      <w:pPr>
        <w:pStyle w:val="FirstParagraph"/>
      </w:pPr>
      <w:r>
        <w:rPr>
          <w:b/>
        </w:rPr>
        <w:t xml:space="preserve">Critical for marketing:</w:t>
      </w:r>
      <w:r>
        <w:t xml:space="preserve"> </w:t>
      </w:r>
      <w:r>
        <w:t xml:space="preserve">Do NOT claim</w:t>
      </w:r>
      <w:r>
        <w:t xml:space="preserve"> </w:t>
      </w:r>
      <w:r>
        <w:t xml:space="preserve">“</w:t>
      </w:r>
      <w:r>
        <w:t xml:space="preserve">No data leaves the EU</w:t>
      </w:r>
      <w:r>
        <w:t xml:space="preserve">”</w:t>
      </w:r>
      <w:r>
        <w:t xml:space="preserve"> </w:t>
      </w:r>
      <w:r>
        <w:t xml:space="preserve">if your service makes API calls to US-based providers. Even if your infrastructure (proxy, servers) is in the EU, the upstream API call crosses borders.</w:t>
      </w:r>
    </w:p>
    <w:p>
      <w:pPr>
        <w:pStyle w:val="Heading2"/>
      </w:pPr>
      <w:bookmarkStart w:id="42" w:name="X14ea67cd532120f060246f223fb25d83bc7bcbd"/>
      <w:r>
        <w:t xml:space="preserve">8.2 Data Processing Agreements (DPAs) with Sub-Processors</w:t>
      </w:r>
      <w:bookmarkEnd w:id="42"/>
    </w:p>
    <w:p>
      <w:pPr>
        <w:pStyle w:val="FirstParagraph"/>
      </w:pPr>
      <w:r>
        <w:t xml:space="preserve">You need DPAs with every sub-processor:</w:t>
      </w:r>
    </w:p>
    <w:tbl>
      <w:tblPr>
        <w:tblStyle w:val="Table"/>
        <w:tblW w:type="pct" w:w="0.0"/>
        <w:tblLook w:firstRow="1"/>
      </w:tblPr>
      <w:tblGrid/>
      <w:tr>
        <w:trPr>
          <w:cnfStyle w:firstRow="1"/>
        </w:trPr>
        <w:tc>
          <w:tcPr>
            <w:tcBorders>
              <w:bottom w:val="single"/>
            </w:tcBorders>
            <w:vAlign w:val="bottom"/>
          </w:tcPr>
          <w:p>
            <w:pPr>
              <w:pStyle w:val="Compact"/>
              <w:jc w:val="left"/>
            </w:pPr>
            <w:r>
              <w:t xml:space="preserve">Processor</w:t>
            </w:r>
          </w:p>
        </w:tc>
        <w:tc>
          <w:tcPr>
            <w:tcBorders>
              <w:bottom w:val="single"/>
            </w:tcBorders>
            <w:vAlign w:val="bottom"/>
          </w:tcPr>
          <w:p>
            <w:pPr>
              <w:pStyle w:val="Compact"/>
              <w:jc w:val="left"/>
            </w:pPr>
            <w:r>
              <w:t xml:space="preserve">DPA Availability</w:t>
            </w:r>
          </w:p>
        </w:tc>
      </w:tr>
      <w:tr>
        <w:tc>
          <w:p>
            <w:pPr>
              <w:pStyle w:val="Compact"/>
              <w:jc w:val="left"/>
            </w:pPr>
            <w:r>
              <w:t xml:space="preserve">Stripe</w:t>
            </w:r>
          </w:p>
        </w:tc>
        <w:tc>
          <w:p>
            <w:pPr>
              <w:pStyle w:val="Compact"/>
              <w:jc w:val="left"/>
            </w:pPr>
            <w:r>
              <w:t xml:space="preserve">Self-serve in account settings</w:t>
            </w:r>
          </w:p>
        </w:tc>
      </w:tr>
      <w:tr>
        <w:tc>
          <w:p>
            <w:pPr>
              <w:pStyle w:val="Compact"/>
              <w:jc w:val="left"/>
            </w:pPr>
            <w:r>
              <w:t xml:space="preserve">Cloudflare</w:t>
            </w:r>
          </w:p>
        </w:tc>
        <w:tc>
          <w:p>
            <w:pPr>
              <w:pStyle w:val="Compact"/>
              <w:jc w:val="left"/>
            </w:pPr>
            <w:r>
              <w:t xml:space="preserve">Auto-included in service agreement</w:t>
            </w:r>
          </w:p>
        </w:tc>
      </w:tr>
      <w:tr>
        <w:tc>
          <w:p>
            <w:pPr>
              <w:pStyle w:val="Compact"/>
              <w:jc w:val="left"/>
            </w:pPr>
            <w:r>
              <w:t xml:space="preserve">Fly.io</w:t>
            </w:r>
          </w:p>
        </w:tc>
        <w:tc>
          <w:p>
            <w:pPr>
              <w:pStyle w:val="Compact"/>
              <w:jc w:val="left"/>
            </w:pPr>
            <w:r>
              <w:t xml:space="preserve">Available on request via support</w:t>
            </w:r>
          </w:p>
        </w:tc>
      </w:tr>
      <w:tr>
        <w:tc>
          <w:p>
            <w:pPr>
              <w:pStyle w:val="Compact"/>
              <w:jc w:val="left"/>
            </w:pPr>
            <w:r>
              <w:t xml:space="preserve">Anthropic</w:t>
            </w:r>
          </w:p>
        </w:tc>
        <w:tc>
          <w:p>
            <w:pPr>
              <w:pStyle w:val="Compact"/>
              <w:jc w:val="left"/>
            </w:pPr>
            <w:r>
              <w:t xml:space="preserve">Complex — contact their legal team</w:t>
            </w:r>
          </w:p>
        </w:tc>
      </w:tr>
      <w:tr>
        <w:tc>
          <w:p>
            <w:pPr>
              <w:pStyle w:val="Compact"/>
              <w:jc w:val="left"/>
            </w:pPr>
            <w:r>
              <w:t xml:space="preserve">Email provider</w:t>
            </w:r>
          </w:p>
        </w:tc>
        <w:tc>
          <w:p>
            <w:pPr>
              <w:pStyle w:val="Compact"/>
              <w:jc w:val="left"/>
            </w:pPr>
            <w:r>
              <w:t xml:space="preserve">Varies — contact to request</w:t>
            </w:r>
          </w:p>
        </w:tc>
      </w:tr>
    </w:tbl>
    <w:p>
      <w:pPr>
        <w:pStyle w:val="Heading2"/>
      </w:pPr>
      <w:bookmarkStart w:id="43" w:name="data-protection-officer-dpo"/>
      <w:r>
        <w:t xml:space="preserve">8.3 Data Protection Officer (DPO)</w:t>
      </w:r>
      <w:bookmarkEnd w:id="43"/>
    </w:p>
    <w:p>
      <w:pPr>
        <w:pStyle w:val="FirstParagraph"/>
      </w:pPr>
      <w:r>
        <w:t xml:space="preserve">Under Sec. 38 BDSG (Bundesdatenschutzgesetz), a DPO is required if 20 or more employees regularly process personal data. A solo founder processing emails and metadata does not need a DPO. Revisit if you hire.</w:t>
      </w:r>
    </w:p>
    <w:p>
      <w:pPr>
        <w:pStyle w:val="Heading1"/>
      </w:pPr>
      <w:bookmarkStart w:id="44" w:name="X14b795005b83128d842b6548d287ed412fb1b34"/>
      <w:r>
        <w:t xml:space="preserve">9. Market Intelligence: The QuitGPT Wave (March 2026)</w:t>
      </w:r>
      <w:bookmarkEnd w:id="44"/>
    </w:p>
    <w:p>
      <w:pPr>
        <w:pStyle w:val="FirstParagraph"/>
      </w:pPr>
      <w:r>
        <w:t xml:space="preserve">This section captures verified market conditions as of March 2026 that are relevant to any AI/KI startup.</w:t>
      </w:r>
    </w:p>
    <w:p>
      <w:pPr>
        <w:pStyle w:val="Heading2"/>
      </w:pPr>
      <w:bookmarkStart w:id="45" w:name="the-shift"/>
      <w:r>
        <w:t xml:space="preserve">9.1 The Shift</w:t>
      </w:r>
      <w:bookmarkEnd w:id="45"/>
    </w:p>
    <w:p>
      <w:pPr>
        <w:pStyle w:val="FirstParagraph"/>
      </w:pPr>
      <w:r>
        <w:t xml:space="preserve">As of March 2, 2026, Anthropic’s Claude is the number 1 app on the iOS App Store, overtaking ChatGPT. The trigger was OpenAI’s approximately USD 200 million Pentagon contract and Anthropic’s public refusal to remove safety guardrails for military applications. Over 1.5 million people joined the</w:t>
      </w:r>
      <w:r>
        <w:t xml:space="preserve"> </w:t>
      </w:r>
      <w:r>
        <w:t xml:space="preserve">“</w:t>
      </w:r>
      <w:r>
        <w:t xml:space="preserve">QuitGPT</w:t>
      </w:r>
      <w:r>
        <w:t xml:space="preserve">”</w:t>
      </w:r>
      <w:r>
        <w:t xml:space="preserve"> </w:t>
      </w:r>
      <w:r>
        <w:t xml:space="preserve">boycott movement.</w:t>
      </w:r>
    </w:p>
    <w:p>
      <w:pPr>
        <w:pStyle w:val="BodyText"/>
      </w:pPr>
      <w:r>
        <w:rPr>
          <w:b/>
        </w:rPr>
        <w:t xml:space="preserve">Verified metrics:</w:t>
      </w:r>
    </w:p>
    <w:p>
      <w:pPr>
        <w:numPr>
          <w:ilvl w:val="0"/>
          <w:numId w:val="1019"/>
        </w:numPr>
        <w:pStyle w:val="Compact"/>
      </w:pPr>
      <w:r>
        <w:t xml:space="preserve">Claude free-tier signups quadrupled since January 2026</w:t>
      </w:r>
    </w:p>
    <w:p>
      <w:pPr>
        <w:numPr>
          <w:ilvl w:val="0"/>
          <w:numId w:val="1019"/>
        </w:numPr>
        <w:pStyle w:val="Compact"/>
      </w:pPr>
      <w:r>
        <w:t xml:space="preserve">Daily active users up over 60%</w:t>
      </w:r>
    </w:p>
    <w:p>
      <w:pPr>
        <w:numPr>
          <w:ilvl w:val="0"/>
          <w:numId w:val="1019"/>
        </w:numPr>
        <w:pStyle w:val="Compact"/>
      </w:pPr>
      <w:r>
        <w:t xml:space="preserve">Anthropic launched a Memory Import Tool (March 2, 2026) to ease migration from ChatGPT</w:t>
      </w:r>
    </w:p>
    <w:p>
      <w:pPr>
        <w:pStyle w:val="Heading2"/>
      </w:pPr>
      <w:bookmarkStart w:id="46" w:name="developer-ecosystem-shift"/>
      <w:r>
        <w:t xml:space="preserve">9.2 Developer Ecosystem Shift</w:t>
      </w:r>
      <w:bookmarkEnd w:id="46"/>
    </w:p>
    <w:p>
      <w:pPr>
        <w:pStyle w:val="FirstParagraph"/>
      </w:pPr>
      <w:r>
        <w:t xml:space="preserve">Anthropic Claude is now the most-used API among Y Combinator Winter 2026 batch startups, surpassing OpenAI for the first time. Usage went from approximately 25% of YC startups (early 2025) to over 52% in the W26 batch.</w:t>
      </w:r>
    </w:p>
    <w:p>
      <w:pPr>
        <w:pStyle w:val="BodyText"/>
      </w:pPr>
      <w:r>
        <w:rPr>
          <w:b/>
        </w:rPr>
        <w:t xml:space="preserve">Implication for micro-SaaS:</w:t>
      </w:r>
      <w:r>
        <w:t xml:space="preserve"> </w:t>
      </w:r>
      <w:r>
        <w:t xml:space="preserve">Migration tooling, compatibility layers, and developer experience products targeting the OpenAI-to-Claude transition represent a time-limited but high-demand opportunity. The window is estimated at 3–6 months before the migration wave subsides.</w:t>
      </w:r>
    </w:p>
    <w:p>
      <w:pPr>
        <w:pStyle w:val="Heading2"/>
      </w:pPr>
      <w:bookmarkStart w:id="47" w:name="anthropics-own-migration-tooling"/>
      <w:r>
        <w:t xml:space="preserve">9.3 Anthropic’s Own Migration Tooling</w:t>
      </w:r>
      <w:bookmarkEnd w:id="47"/>
    </w:p>
    <w:p>
      <w:pPr>
        <w:pStyle w:val="FirstParagraph"/>
      </w:pPr>
      <w:r>
        <w:t xml:space="preserve">Anthropic provides an OpenAI SDK compatibility layer (documented at docs.anthropic.com). Key limitation: the</w:t>
      </w:r>
      <w:r>
        <w:t xml:space="preserve"> </w:t>
      </w:r>
      <w:r>
        <w:t xml:space="preserve">“</w:t>
      </w:r>
      <w:r>
        <w:t xml:space="preserve">strict</w:t>
      </w:r>
      <w:r>
        <w:t xml:space="preserve">”</w:t>
      </w:r>
      <w:r>
        <w:t xml:space="preserve"> </w:t>
      </w:r>
      <w:r>
        <w:t xml:space="preserve">parameter for function calling is silently ignored, meaning structured output conformance is not guaranteed. This gap represents an opportunity for third-party tooling.</w:t>
      </w:r>
    </w:p>
    <w:p>
      <w:pPr>
        <w:pStyle w:val="Heading1"/>
      </w:pPr>
      <w:bookmarkStart w:id="48" w:name="Xcdfa4a946f2938752b9454f79545e7190253ecf"/>
      <w:r>
        <w:t xml:space="preserve">10. Cost Summary for a German KI Micro-SaaS Launch</w:t>
      </w:r>
      <w:bookmarkEnd w:id="48"/>
    </w:p>
    <w:tbl>
      <w:tblPr>
        <w:tblStyle w:val="Table"/>
        <w:tblW w:type="pct" w:w="0.0"/>
        <w:tblLook w:firstRow="1"/>
      </w:tblPr>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Estimated Cost (EUR)</w:t>
            </w:r>
          </w:p>
        </w:tc>
      </w:tr>
      <w:tr>
        <w:tc>
          <w:p>
            <w:pPr>
              <w:pStyle w:val="Compact"/>
              <w:jc w:val="left"/>
            </w:pPr>
            <w:r>
              <w:t xml:space="preserve">UG formation (notary + registration)</w:t>
            </w:r>
          </w:p>
        </w:tc>
        <w:tc>
          <w:p>
            <w:pPr>
              <w:pStyle w:val="Compact"/>
              <w:jc w:val="left"/>
            </w:pPr>
            <w:r>
              <w:t xml:space="preserve">500–800</w:t>
            </w:r>
          </w:p>
        </w:tc>
      </w:tr>
      <w:tr>
        <w:tc>
          <w:p>
            <w:pPr>
              <w:pStyle w:val="Compact"/>
              <w:jc w:val="left"/>
            </w:pPr>
            <w:r>
              <w:t xml:space="preserve">Impressum</w:t>
            </w:r>
          </w:p>
        </w:tc>
        <w:tc>
          <w:p>
            <w:pPr>
              <w:pStyle w:val="Compact"/>
              <w:jc w:val="left"/>
            </w:pPr>
            <w:r>
              <w:t xml:space="preserve">0 (self-serve)</w:t>
            </w:r>
          </w:p>
        </w:tc>
      </w:tr>
      <w:tr>
        <w:tc>
          <w:p>
            <w:pPr>
              <w:pStyle w:val="Compact"/>
              <w:jc w:val="left"/>
            </w:pPr>
            <w:r>
              <w:t xml:space="preserve">Privacy Policy (template + lawyer review)</w:t>
            </w:r>
          </w:p>
        </w:tc>
        <w:tc>
          <w:p>
            <w:pPr>
              <w:pStyle w:val="Compact"/>
              <w:jc w:val="left"/>
            </w:pPr>
            <w:r>
              <w:t xml:space="preserve">350–1,000</w:t>
            </w:r>
          </w:p>
        </w:tc>
      </w:tr>
      <w:tr>
        <w:tc>
          <w:p>
            <w:pPr>
              <w:pStyle w:val="Compact"/>
              <w:jc w:val="left"/>
            </w:pPr>
            <w:r>
              <w:t xml:space="preserve">AGB (lawyer-drafted, BGB-proofed)</w:t>
            </w:r>
          </w:p>
        </w:tc>
        <w:tc>
          <w:p>
            <w:pPr>
              <w:pStyle w:val="Compact"/>
              <w:jc w:val="left"/>
            </w:pPr>
            <w:r>
              <w:t xml:space="preserve">500–1,500</w:t>
            </w:r>
          </w:p>
        </w:tc>
      </w:tr>
      <w:tr>
        <w:tc>
          <w:p>
            <w:pPr>
              <w:pStyle w:val="Compact"/>
              <w:jc w:val="left"/>
            </w:pPr>
            <w:r>
              <w:t xml:space="preserve">AVV template with TOMs</w:t>
            </w:r>
          </w:p>
        </w:tc>
        <w:tc>
          <w:p>
            <w:pPr>
              <w:pStyle w:val="Compact"/>
              <w:jc w:val="left"/>
            </w:pPr>
            <w:r>
              <w:t xml:space="preserve">200–500</w:t>
            </w:r>
          </w:p>
        </w:tc>
      </w:tr>
      <w:tr>
        <w:tc>
          <w:p>
            <w:pPr>
              <w:pStyle w:val="Compact"/>
              <w:jc w:val="left"/>
            </w:pPr>
            <w:r>
              <w:t xml:space="preserve">Steuerberater initial consultation</w:t>
            </w:r>
          </w:p>
        </w:tc>
        <w:tc>
          <w:p>
            <w:pPr>
              <w:pStyle w:val="Compact"/>
              <w:jc w:val="left"/>
            </w:pPr>
            <w:r>
              <w:t xml:space="preserve">200–400</w:t>
            </w:r>
          </w:p>
        </w:tc>
      </w:tr>
      <w:tr>
        <w:tc>
          <w:p>
            <w:pPr>
              <w:pStyle w:val="Compact"/>
              <w:jc w:val="left"/>
            </w:pPr>
            <w:r>
              <w:t xml:space="preserve">Product liability insurance (annual)</w:t>
            </w:r>
          </w:p>
        </w:tc>
        <w:tc>
          <w:p>
            <w:pPr>
              <w:pStyle w:val="Compact"/>
              <w:jc w:val="left"/>
            </w:pPr>
            <w:r>
              <w:t xml:space="preserve">300–800 (estimate)</w:t>
            </w:r>
          </w:p>
        </w:tc>
      </w:tr>
      <w:tr>
        <w:tc>
          <w:p>
            <w:pPr>
              <w:pStyle w:val="Compact"/>
              <w:jc w:val="left"/>
            </w:pPr>
            <w:r>
              <w:t xml:space="preserve">E-invoicing setup (if needed pre-2028)</w:t>
            </w:r>
          </w:p>
        </w:tc>
        <w:tc>
          <w:p>
            <w:pPr>
              <w:pStyle w:val="Compact"/>
              <w:jc w:val="left"/>
            </w:pPr>
            <w:r>
              <w:t xml:space="preserve">0–200</w:t>
            </w:r>
          </w:p>
        </w:tc>
      </w:tr>
      <w:tr>
        <w:tc>
          <w:p>
            <w:pPr>
              <w:pStyle w:val="Compact"/>
              <w:jc w:val="left"/>
            </w:pPr>
            <w:r>
              <w:rPr>
                <w:b/>
              </w:rPr>
              <w:t xml:space="preserve">Total estimated range</w:t>
            </w:r>
          </w:p>
        </w:tc>
        <w:tc>
          <w:p>
            <w:pPr>
              <w:pStyle w:val="Compact"/>
              <w:jc w:val="left"/>
            </w:pPr>
            <w:r>
              <w:rPr>
                <w:b/>
              </w:rPr>
              <w:t xml:space="preserve">2,050–5,200</w:t>
            </w:r>
          </w:p>
        </w:tc>
      </w:tr>
    </w:tbl>
    <w:p>
      <w:pPr>
        <w:pStyle w:val="BodyText"/>
      </w:pPr>
      <w:r>
        <w:t xml:space="preserve">This excludes ongoing costs (hosting, Steuerberater monthly, insurance renewal) and assumes the UG is already formed.</w:t>
      </w:r>
    </w:p>
    <w:p>
      <w:pPr>
        <w:pStyle w:val="Heading1"/>
      </w:pPr>
      <w:bookmarkStart w:id="49" w:name="X63ca28a94b1e748015d38093b02629646ee7173"/>
      <w:r>
        <w:t xml:space="preserve">11. Lessons Learned and Future Project Checklist</w:t>
      </w:r>
      <w:bookmarkEnd w:id="49"/>
    </w:p>
    <w:p>
      <w:pPr>
        <w:pStyle w:val="FirstParagraph"/>
      </w:pPr>
      <w:r>
        <w:t xml:space="preserve">For any future micro-SaaS project operated through a German UG:</w:t>
      </w:r>
    </w:p>
    <w:p>
      <w:pPr>
        <w:numPr>
          <w:ilvl w:val="0"/>
          <w:numId w:val="1020"/>
        </w:numPr>
        <w:pStyle w:val="Compact"/>
      </w:pPr>
      <w:r>
        <w:rPr>
          <w:b/>
        </w:rPr>
        <w:t xml:space="preserve">Legal pages first.</w:t>
      </w:r>
      <w:r>
        <w:t xml:space="preserve"> </w:t>
      </w:r>
      <w:r>
        <w:t xml:space="preserve">Draft Impressum, Privacy Policy, and AGB before building the product. The legal requirements do not change based on the product.</w:t>
      </w:r>
    </w:p>
    <w:p>
      <w:pPr>
        <w:numPr>
          <w:ilvl w:val="0"/>
          <w:numId w:val="1020"/>
        </w:numPr>
        <w:pStyle w:val="Compact"/>
      </w:pPr>
      <w:r>
        <w:rPr>
          <w:b/>
        </w:rPr>
        <w:t xml:space="preserve">Steuerberater from day one.</w:t>
      </w:r>
      <w:r>
        <w:t xml:space="preserve"> </w:t>
      </w:r>
      <w:r>
        <w:t xml:space="preserve">EU B2B SaaS VAT is not a DIY task.</w:t>
      </w:r>
    </w:p>
    <w:p>
      <w:pPr>
        <w:numPr>
          <w:ilvl w:val="0"/>
          <w:numId w:val="1020"/>
        </w:numPr>
        <w:pStyle w:val="Compact"/>
      </w:pPr>
      <w:r>
        <w:rPr>
          <w:b/>
        </w:rPr>
        <w:t xml:space="preserve">Budget EUR 500–1,500 for AGB.</w:t>
      </w:r>
      <w:r>
        <w:t xml:space="preserve"> </w:t>
      </w:r>
      <w:r>
        <w:t xml:space="preserve">German AGB law (Secs. 305–310 BGB) makes US-style templates dangerous. A blanket liability cap without Kardinalpflichten distinction will be voided.</w:t>
      </w:r>
    </w:p>
    <w:p>
      <w:pPr>
        <w:numPr>
          <w:ilvl w:val="0"/>
          <w:numId w:val="1020"/>
        </w:numPr>
        <w:pStyle w:val="Compact"/>
      </w:pPr>
      <w:r>
        <w:rPr>
          <w:b/>
        </w:rPr>
        <w:t xml:space="preserve">Check upstream provider ToS before building.</w:t>
      </w:r>
      <w:r>
        <w:t xml:space="preserve"> </w:t>
      </w:r>
      <w:r>
        <w:t xml:space="preserve">If your product depends on another company’s API, verify that your business model (proxy, markup, resale) is permitted under their terms. Get written confirmation.</w:t>
      </w:r>
    </w:p>
    <w:p>
      <w:pPr>
        <w:numPr>
          <w:ilvl w:val="0"/>
          <w:numId w:val="1020"/>
        </w:numPr>
        <w:pStyle w:val="Compact"/>
      </w:pPr>
      <w:r>
        <w:rPr>
          <w:b/>
        </w:rPr>
        <w:t xml:space="preserve">ViDA e-invoicing is coming.</w:t>
      </w:r>
      <w:r>
        <w:t xml:space="preserve"> </w:t>
      </w:r>
      <w:r>
        <w:t xml:space="preserve">Set up ZUGFeRD-compatible invoicing early. Mandatory issuance hits all businesses by 2028.</w:t>
      </w:r>
    </w:p>
    <w:p>
      <w:pPr>
        <w:numPr>
          <w:ilvl w:val="0"/>
          <w:numId w:val="1020"/>
        </w:numPr>
        <w:pStyle w:val="Compact"/>
      </w:pPr>
      <w:r>
        <w:rPr>
          <w:b/>
        </w:rPr>
        <w:t xml:space="preserve">Product Liability Directive applies to software from December 2026.</w:t>
      </w:r>
      <w:r>
        <w:t xml:space="preserve"> </w:t>
      </w:r>
      <w:r>
        <w:t xml:space="preserve">Any SaaS that transforms, translates, or modifies data is a</w:t>
      </w:r>
      <w:r>
        <w:t xml:space="preserve"> </w:t>
      </w:r>
      <w:r>
        <w:t xml:space="preserve">“</w:t>
      </w:r>
      <w:r>
        <w:t xml:space="preserve">product</w:t>
      </w:r>
      <w:r>
        <w:t xml:space="preserve">”</w:t>
      </w:r>
      <w:r>
        <w:t xml:space="preserve"> </w:t>
      </w:r>
      <w:r>
        <w:t xml:space="preserve">under strict liability. Include an AUP banning high-risk use cases.</w:t>
      </w:r>
    </w:p>
    <w:p>
      <w:pPr>
        <w:numPr>
          <w:ilvl w:val="0"/>
          <w:numId w:val="1020"/>
        </w:numPr>
        <w:pStyle w:val="Compact"/>
      </w:pPr>
      <w:r>
        <w:rPr>
          <w:b/>
        </w:rPr>
        <w:t xml:space="preserve">RAM-only processing still requires an AVV.</w:t>
      </w:r>
      <w:r>
        <w:t xml:space="preserve"> </w:t>
      </w:r>
      <w:r>
        <w:t xml:space="preserve">Art. 4(2) GDPR covers</w:t>
      </w:r>
      <w:r>
        <w:t xml:space="preserve"> </w:t>
      </w:r>
      <w:r>
        <w:t xml:space="preserve">“</w:t>
      </w:r>
      <w:r>
        <w:t xml:space="preserve">transmission</w:t>
      </w:r>
      <w:r>
        <w:t xml:space="preserve">”</w:t>
      </w:r>
      <w:r>
        <w:t xml:space="preserve"> </w:t>
      </w:r>
      <w:r>
        <w:t xml:space="preserve">and</w:t>
      </w:r>
      <w:r>
        <w:t xml:space="preserve"> </w:t>
      </w:r>
      <w:r>
        <w:t xml:space="preserve">“</w:t>
      </w:r>
      <w:r>
        <w:t xml:space="preserve">making available.</w:t>
      </w:r>
      <w:r>
        <w:t xml:space="preserve">”</w:t>
      </w:r>
      <w:r>
        <w:t xml:space="preserve"> </w:t>
      </w:r>
      <w:r>
        <w:t xml:space="preserve">Brief handling of API keys in memory is still</w:t>
      </w:r>
      <w:r>
        <w:t xml:space="preserve"> </w:t>
      </w:r>
      <w:r>
        <w:t xml:space="preserve">“</w:t>
      </w:r>
      <w:r>
        <w:t xml:space="preserve">processing.</w:t>
      </w:r>
      <w:r>
        <w:t xml:space="preserve">”</w:t>
      </w:r>
    </w:p>
    <w:p>
      <w:pPr>
        <w:numPr>
          <w:ilvl w:val="0"/>
          <w:numId w:val="1020"/>
        </w:numPr>
        <w:pStyle w:val="Compact"/>
      </w:pPr>
      <w:r>
        <w:rPr>
          <w:b/>
        </w:rPr>
        <w:t xml:space="preserve">Do not claim data stays in the EU if it does not.</w:t>
      </w:r>
      <w:r>
        <w:t xml:space="preserve"> </w:t>
      </w:r>
      <w:r>
        <w:t xml:space="preserve">If your SaaS calls US-based APIs, disclose this clearly. GDPR requires transparency about international transfers.</w:t>
      </w:r>
    </w:p>
    <w:p>
      <w:pPr>
        <w:numPr>
          <w:ilvl w:val="0"/>
          <w:numId w:val="1020"/>
        </w:numPr>
        <w:pStyle w:val="Compact"/>
      </w:pPr>
      <w:r>
        <w:rPr>
          <w:b/>
        </w:rPr>
        <w:t xml:space="preserve">The Abmahnung industry is real.</w:t>
      </w:r>
      <w:r>
        <w:t xml:space="preserve"> </w:t>
      </w:r>
      <w:r>
        <w:t xml:space="preserve">Specialized German law firms and consumer groups actively scan for compliance gaps. Missing a required legal page can cost EUR 1,200–3,000 per incident.</w:t>
      </w:r>
    </w:p>
    <w:p>
      <w:pPr>
        <w:numPr>
          <w:ilvl w:val="0"/>
          <w:numId w:val="1020"/>
        </w:numPr>
        <w:pStyle w:val="Compact"/>
      </w:pPr>
      <w:r>
        <w:rPr>
          <w:b/>
        </w:rPr>
        <w:t xml:space="preserve">Time your market entry.</w:t>
      </w:r>
      <w:r>
        <w:t xml:space="preserve"> </w:t>
      </w:r>
      <w:r>
        <w:t xml:space="preserve">Regulatory compliance for a German KI SaaS takes 4–8 weeks minimum. If your market window is shorter than your compliance timeline, consider whether the opportunity justifies the legal investment.</w:t>
      </w:r>
    </w:p>
    <w:p>
      <w:pPr>
        <w:pStyle w:val="Heading1"/>
      </w:pPr>
      <w:bookmarkStart w:id="50" w:name="sources"/>
      <w:r>
        <w:t xml:space="preserve">Sources</w:t>
      </w:r>
      <w:bookmarkEnd w:id="50"/>
    </w:p>
    <w:p>
      <w:pPr>
        <w:pStyle w:val="FirstParagraph"/>
      </w:pPr>
      <w:r>
        <w:t xml:space="preserve">All claims in this document were verified via web search on March 10, 2026. Key sources include:</w:t>
      </w:r>
    </w:p>
    <w:p>
      <w:pPr>
        <w:pStyle w:val="BodyText"/>
      </w:pPr>
      <w:r>
        <w:rPr>
          <w:b/>
        </w:rPr>
        <w:t xml:space="preserve">Market intelligence:</w:t>
      </w:r>
      <w:r>
        <w:t xml:space="preserve"> </w:t>
      </w:r>
      <w:r>
        <w:t xml:space="preserve">Fortune, CNN, TechCrunch, The Hill, Vice, MacRumors, Fast Company, Inc.</w:t>
      </w:r>
    </w:p>
    <w:p>
      <w:pPr>
        <w:pStyle w:val="BodyText"/>
      </w:pPr>
      <w:r>
        <w:rPr>
          <w:b/>
        </w:rPr>
        <w:t xml:space="preserve">Legal:</w:t>
      </w:r>
      <w:r>
        <w:t xml:space="preserve"> </w:t>
      </w:r>
      <w:r>
        <w:t xml:space="preserve">Taylor Wessing (liability exclusions under German law), International Bar Association (EU Product Liability Directive), Reed Smith (PLD software implications), Covington (PLD overview), Chambers and Partners (German commercial contracts guide), ITMediaLaw (clause bans and consumer protection).</w:t>
      </w:r>
    </w:p>
    <w:p>
      <w:pPr>
        <w:pStyle w:val="BodyText"/>
      </w:pPr>
      <w:r>
        <w:rPr>
          <w:b/>
        </w:rPr>
        <w:t xml:space="preserve">Tax and invoicing:</w:t>
      </w:r>
      <w:r>
        <w:t xml:space="preserve"> </w:t>
      </w:r>
      <w:r>
        <w:t xml:space="preserve">VATupdate (Germany e-invoicing mandate), TaxJar (ViDA implementation), EDICOM (ViDA overview), vatcalc.com (DRR timeline).</w:t>
      </w:r>
    </w:p>
    <w:p>
      <w:pPr>
        <w:pStyle w:val="BodyText"/>
      </w:pPr>
      <w:r>
        <w:rPr>
          <w:b/>
        </w:rPr>
        <w:t xml:space="preserve">EU legislation:</w:t>
      </w:r>
      <w:r>
        <w:t xml:space="preserve"> </w:t>
      </w:r>
      <w:r>
        <w:t xml:space="preserve">Directive (EU) 2024/2853 (Product Liability), EU AI Act, GDPR, DDG (Sec. 5, Sec. 6), BGB (Secs. 305–310), UStG (Sec. 14), BDSG (Sec. 38).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a KI/SaaS Startup in Germany: Legal, Tax &amp; Compliance Knowledge Base</dc:title>
  <dc:creator>Ryan Hill — ML Upskill Agents UG (haftungsbeschränkt)</dc:creator>
  <cp:keywords/>
  <dcterms:created xsi:type="dcterms:W3CDTF">2026-03-10T18:33:26Z</dcterms:created>
  <dcterms:modified xsi:type="dcterms:W3CDTF">2026-03-10T18:33:26Z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10, 2026</vt:lpwstr>
  </property>
  <property fmtid="{D5CDD505-2E9C-101B-9397-08002B2CF9AE}" pid="3" name="subtitle">
    <vt:lpwstr>Lessons Learned from EthicalPivot (March 2026)</vt:lpwstr>
  </property>
</Properties>
</file>