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5E7B"/>
          <w:sz w:val="52"/>
          <w:szCs w:val="52"/>
        </w:rPr>
        <w:t xml:space="preserve">Ireland ↔ Germany</w:t>
      </w:r>
    </w:p>
    <w:p>
      <w:pPr>
        <w:spacing w:after="120"/>
        <w:jc w:val="center"/>
      </w:pPr>
      <w:r>
        <w:rPr>
          <w:rFonts w:ascii="Arial" w:cs="Arial" w:eastAsia="Arial" w:hAnsi="Arial"/>
          <w:b/>
          <w:bCs/>
          <w:color w:val="1B5E7B"/>
          <w:sz w:val="44"/>
          <w:szCs w:val="44"/>
        </w:rPr>
        <w:t xml:space="preserve">Parallel Reform Analysis</w:t>
      </w:r>
    </w:p>
    <w:p>
      <w:pPr>
        <w:spacing w:after="400"/>
        <w:jc w:val="center"/>
      </w:pPr>
      <w:r>
        <w:rPr>
          <w:rFonts w:ascii="Arial" w:cs="Arial" w:eastAsia="Arial" w:hAnsi="Arial"/>
          <w:color w:val="666666"/>
          <w:sz w:val="28"/>
          <w:szCs w:val="28"/>
        </w:rPr>
        <w:t xml:space="preserve">ProPrecept Ireland × PraxisProfi Germany</w:t>
      </w:r>
    </w:p>
    <w:p>
      <w:pPr>
        <w:pBdr>
          <w:top w:val="single" w:color="1B5E7B" w:sz="2" w:space="8"/>
        </w:pBdr>
        <w:spacing w:after="60"/>
        <w:jc w:val="center"/>
      </w:pPr>
      <w:r>
        <w:rPr>
          <w:rFonts w:ascii="Arial" w:cs="Arial" w:eastAsia="Arial" w:hAnsi="Arial"/>
          <w:i/>
          <w:iCs/>
          <w:color w:val="555555"/>
          <w:sz w:val="22"/>
          <w:szCs w:val="22"/>
        </w:rPr>
        <w:t xml:space="preserve">How Ireland’s NCAD/MyCad rollout parallels Germany’s PflBG documentation reform — and what it means for PraxisProfi’s market entry timing</w:t>
      </w:r>
    </w:p>
    <w:p>
      <w:pPr>
        <w:spacing w:after="600"/>
      </w:pPr>
    </w:p>
    <w:p>
      <w:pPr>
        <w:jc w:val="center"/>
      </w:pPr>
      <w:r>
        <w:rPr>
          <w:rFonts w:ascii="Arial" w:cs="Arial" w:eastAsia="Arial" w:hAnsi="Arial"/>
          <w:color w:val="666666"/>
          <w:sz w:val="22"/>
          <w:szCs w:val="22"/>
        </w:rPr>
        <w:t xml:space="preserve">Prepared for: Mr. Hill</w:t>
      </w:r>
    </w:p>
    <w:p>
      <w:pPr>
        <w:jc w:val="center"/>
      </w:pPr>
      <w:r>
        <w:rPr>
          <w:rFonts w:ascii="Arial" w:cs="Arial" w:eastAsia="Arial" w:hAnsi="Arial"/>
          <w:color w:val="666666"/>
          <w:sz w:val="22"/>
          <w:szCs w:val="22"/>
        </w:rPr>
        <w:t xml:space="preserve">Date: 23 February 2026</w:t>
      </w:r>
    </w:p>
    <w:p>
      <w:pPr>
        <w:jc w:val="center"/>
      </w:pPr>
      <w:r>
        <w:rPr>
          <w:rFonts w:ascii="Arial" w:cs="Arial" w:eastAsia="Arial" w:hAnsi="Arial"/>
          <w:color w:val="999999"/>
          <w:sz w:val="20"/>
          <w:szCs w:val="20"/>
        </w:rPr>
        <w:t xml:space="preserve">Classification: Internal — PraxisProfi Development Thread</w:t>
      </w:r>
    </w:p>
    <w:p>
      <w:pPr>
        <w:sectPr>
          <w:pgSz w:w="11906" w:h="16838" w:orient="portrait"/>
          <w:pgMar w:top="1440" w:right="1440" w:bottom="1440" w:left="1440" w:header="708" w:footer="708" w:gutter="0"/>
          <w:pgNumType/>
          <w:docGrid w:linePitch="360"/>
        </w:sectPr>
      </w:pPr>
    </w:p>
    <w:p>
      <w:pPr>
        <w:pStyle w:val="Heading1"/>
      </w:pPr>
      <w:r>
        <w:t xml:space="preserve">Executive Summary</w:t>
      </w:r>
    </w:p>
    <w:p>
      <w:r>
        <w:rPr>
          <w:rFonts w:ascii="Arial" w:cs="Arial" w:eastAsia="Arial" w:hAnsi="Arial"/>
          <w:sz w:val="22"/>
          <w:szCs w:val="22"/>
        </w:rPr>
        <w:t xml:space="preserve">This document analyses the structural parallels between Ireland’s NCAD/MyCad rollout and Germany’s PflBG nursing documentation reform. Both countries are undergoing simultaneous transitions: Ireland is digitising a nationally standardised competence assessment document (NCAD → MyCad), while Germany unified three separate nursing tracks into a single competency framework (PflBG 2020) that created entirely new documentation obligations for Praxisanleiter.</w:t>
      </w:r>
    </w:p>
    <w:p>
      <w:pPr>
        <w:spacing w:after="120"/>
      </w:pPr>
    </w:p>
    <w:p>
      <w:r>
        <w:rPr>
          <w:rFonts w:ascii="Arial" w:cs="Arial" w:eastAsia="Arial" w:hAnsi="Arial"/>
          <w:sz w:val="22"/>
          <w:szCs w:val="22"/>
        </w:rPr>
        <w:t xml:space="preserve">The finding is that both markets share the same core pattern: a regulatory reform has created new or expanded documentation requirements, instructors are struggling with the writing, and no tool exists to help them. Ireland is 2–3 years ahead in its digitisation timeline (MyCad is live). Germany is still predominantly paper-based. Both represent significant opportunities, but with different strategic implications for timing and effort.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7B" w:sz="6"/>
              <w:left w:val="single" w:color="CCCCCC" w:sz="1"/>
              <w:bottom w:val="single" w:color="CCCCCC" w:sz="1"/>
              <w:right w:val="single" w:color="CCCCCC" w:sz="1"/>
            </w:tcBorders>
            <w:shd w:fill="D5E8F0" w:val="clear"/>
            <w:tcMar>
              <w:top w:type="dxa" w:w="160"/>
              <w:left w:type="dxa" w:w="200"/>
              <w:bottom w:type="dxa" w:w="160"/>
              <w:right w:type="dxa" w:w="200"/>
            </w:tcMar>
          </w:tcPr>
          <w:p>
            <w:pPr>
              <w:spacing w:after="60"/>
            </w:pPr>
            <w:r>
              <w:rPr>
                <w:rFonts w:ascii="Arial" w:cs="Arial" w:eastAsia="Arial" w:hAnsi="Arial"/>
                <w:b/>
                <w:bCs/>
                <w:color w:val="1B5E7B"/>
                <w:sz w:val="22"/>
                <w:szCs w:val="22"/>
              </w:rPr>
              <w:t xml:space="preserve">Key Takeaway for PraxisProfi Development</w:t>
            </w:r>
          </w:p>
          <w:p>
            <w:pPr>
              <w:spacing w:after="60"/>
            </w:pPr>
            <w:r>
              <w:rPr>
                <w:rFonts w:ascii="Arial" w:cs="Arial" w:eastAsia="Arial" w:hAnsi="Arial"/>
                <w:sz w:val="21"/>
                <w:szCs w:val="21"/>
              </w:rPr>
              <w:t xml:space="preserve">Germany’s documentation reform is structurally similar to Ireland’s but operationally different. The pain point (writing professional competency feedback) is identical. The market is 3–5x larger. The digital infrastructure gap means PraxisProfi enters a market where even the form is still on paper — which is both an opportunity (no platform lock-in) and a challenge (no copy-paste-from-app workflow yet).</w:t>
            </w:r>
          </w:p>
          <w:p>
            <w:pPr>
              <w:spacing w:after="60"/>
            </w:pPr>
            <w:r>
              <w:rPr>
                <w:rFonts w:ascii="Arial" w:cs="Arial" w:eastAsia="Arial" w:hAnsi="Arial"/>
                <w:sz w:val="21"/>
                <w:szCs w:val="21"/>
              </w:rPr>
              <w:t xml:space="preserve">ProPrecept Ireland’s “tool-as-training-scaffold” positioning — where repeated use builds familiarity with assessment language — is even more applicable in Germany, where the PflBG framework is newer and less familiar to instructors.</w:t>
            </w:r>
          </w:p>
        </w:tc>
      </w:tr>
    </w:tbl>
    <w:p>
      <w:pPr>
        <w:spacing w:after="200"/>
      </w:pPr>
    </w:p>
    <w:p>
      <w:pPr>
        <w:pStyle w:val="Heading1"/>
      </w:pPr>
      <w:r>
        <w:t xml:space="preserve">The Reforms Side by Side</w:t>
      </w:r>
    </w:p>
    <w:p>
      <w:r>
        <w:rPr>
          <w:rFonts w:ascii="Arial" w:cs="Arial" w:eastAsia="Arial" w:hAnsi="Arial"/>
          <w:sz w:val="22"/>
          <w:szCs w:val="22"/>
        </w:rPr>
        <w:t xml:space="preserve">Both Ireland and Germany undertook major reforms to their nursing education assessment infrastructure within the same decade. The timing, scope, and current implementation status create instructive parallels.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313"/>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r>
              <w:rPr>
                <w:rFonts w:ascii="Arial" w:cs="Arial" w:eastAsia="Arial" w:hAnsi="Arial"/>
                <w:b/>
                <w:bCs/>
                <w:color w:val="FFFFFF"/>
                <w:sz w:val="20"/>
                <w:szCs w:val="20"/>
              </w:rPr>
              <w:t xml:space="preserve">Ireland (NCAD/MyCad)</w:t>
            </w:r>
          </w:p>
        </w:tc>
        <w:tc>
          <w:tcPr>
            <w:tcW w:type="dxa" w:w="3313"/>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r>
              <w:rPr>
                <w:rFonts w:ascii="Arial" w:cs="Arial" w:eastAsia="Arial" w:hAnsi="Arial"/>
                <w:b/>
                <w:bCs/>
                <w:color w:val="FFFFFF"/>
                <w:sz w:val="20"/>
                <w:szCs w:val="20"/>
              </w:rPr>
              <w:t xml:space="preserve">Germany (PflBG/PflAPrV)</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Reform name</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NCAD digitisation via MyCad</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Pflegeberufegesetz (PflBG) 2020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What changed</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Paper NCAD → digital platform; same framework, new medium</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Three separate nursing qualifications merged into one; entirely new competency framework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Regulatory body</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NMBI (Nursing &amp; Midwifery Board of Ireland)</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Federal: PflBG/PflAPrV; State-level: Landesgesetze; Advisory: BIBB</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Competency framework</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6 Domains of Competence, 16 competency statements</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 Kompetenzbereiche, 16 Kompetenzschwerpunkte, 80+ individual Kompetenzen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Assessment milestones</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Preliminary, Midpoint, Final interview</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Erstgespräch, Zwischengespräch, Abschlussgespräch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Instructor role</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Preceptor (unpaid add-on to staff nurse role)</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Praxisanleiter/in (requires 200+ hr qualification + 24 hr/yr CPD)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Digital platform</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MyCad (Axia Digital) — live at ATU, MTU; rolling out to 18 HEIs</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None nationally. Paper-based or institution-specific. BIBB FEL project in development.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Standardisation</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National: one NCAD for all HEIs</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Federal framework + institutional variation: BIBB template adapted per Pflegeschule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Implementation start</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MyCad: 2023 (ATU pilot)</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PflBG: January 2020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Current maturity</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Early rollout — 2 of 18 HEIs live on MyCad</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 years in; first cohorts graduated; documentation gaps persist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Market size (instructors)</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~5,000–8,000 preceptors</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~15,000–25,000 Praxisanleiter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Writing burden per student</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Moderate-high: per-competency indicators + narrative</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High: 6.5–13 pages (3 conversations + Beurteilungsbogen)</w:t>
            </w:r>
          </w:p>
        </w:tc>
      </w:tr>
    </w:tbl>
    <w:p>
      <w:pPr>
        <w:spacing w:after="200"/>
      </w:pPr>
    </w:p>
    <w:p>
      <w:pPr>
        <w:pStyle w:val="Heading1"/>
      </w:pPr>
      <w:r>
        <w:t xml:space="preserve">Shared Pain Points</w:t>
      </w:r>
    </w:p>
    <w:p>
      <w:r>
        <w:rPr>
          <w:rFonts w:ascii="Arial" w:cs="Arial" w:eastAsia="Arial" w:hAnsi="Arial"/>
          <w:sz w:val="22"/>
          <w:szCs w:val="22"/>
        </w:rPr>
        <w:t xml:space="preserve">Despite the structural differences between the Irish and German systems, the instructor experience is remarkably similar. Both markets share five core pain points that define the product opportunity.</w:t>
      </w:r>
    </w:p>
    <w:p>
      <w:pPr>
        <w:spacing w:after="120"/>
      </w:pPr>
    </w:p>
    <w:p>
      <w:pPr>
        <w:pStyle w:val="Heading2"/>
      </w:pPr>
      <w:r>
        <w:t xml:space="preserve">The writing burden is the bottleneck</w:t>
      </w:r>
    </w:p>
    <w:p>
      <w:r>
        <w:rPr>
          <w:rFonts w:ascii="Arial" w:cs="Arial" w:eastAsia="Arial" w:hAnsi="Arial"/>
          <w:sz w:val="22"/>
          <w:szCs w:val="22"/>
        </w:rPr>
        <w:t xml:space="preserve">In both markets, the assessment framework demands written evidence — not just checkboxes. Irish preceptors must provide narrative evidence per competency domain. German Praxisanleiter must write 6.5–13 pages of structured assessment per student per placement, covering three formal conversations plus a Beurteilungsbogen. Research in both countries confirms that documentation is the most time-consuming aspect of the instructor role.</w:t>
      </w:r>
    </w:p>
    <w:p>
      <w:pPr>
        <w:spacing w:after="100"/>
      </w:pPr>
    </w:p>
    <w:p>
      <w:pPr>
        <w:pStyle w:val="Heading2"/>
      </w:pPr>
      <w:r>
        <w:t xml:space="preserve">Competency language is unfamiliar</w:t>
      </w:r>
    </w:p>
    <w:p>
      <w:r>
        <w:rPr>
          <w:rFonts w:ascii="Arial" w:cs="Arial" w:eastAsia="Arial" w:hAnsi="Arial"/>
          <w:sz w:val="22"/>
          <w:szCs w:val="22"/>
        </w:rPr>
        <w:t xml:space="preserve">Irish research (Cassidy et al., 2012; McCarthy &amp; Murphy, 2008) documents that preceptors struggle with the language of competence assessment. In Germany, the PflBG framework is only five years old, and many Praxisanleiter trained under the old three-track system where documentation requirements were different. The five Kompetenzbereiche — particularly KB IV (legal/ethical reflection) and KB V (scientific/evidence-based reflection) — require abstract competency language that experienced clinicians find difficult to articulate in writing.</w:t>
      </w:r>
    </w:p>
    <w:p>
      <w:pPr>
        <w:spacing w:after="100"/>
      </w:pPr>
    </w:p>
    <w:p>
      <w:pPr>
        <w:pStyle w:val="Heading2"/>
      </w:pPr>
      <w:r>
        <w:t xml:space="preserve">Instructors receive minimal writing training</w:t>
      </w:r>
    </w:p>
    <w:p>
      <w:r>
        <w:rPr>
          <w:rFonts w:ascii="Arial" w:cs="Arial" w:eastAsia="Arial" w:hAnsi="Arial"/>
          <w:sz w:val="22"/>
          <w:szCs w:val="22"/>
        </w:rPr>
        <w:t xml:space="preserve">Neither country provides systematic training on how to write assessment documentation. In Ireland, preceptor preparation programmes focus on clinical supervision and mentorship, not on the mechanics of NCAD writing. In Germany, the mandatory 24-hour annual CPD for Praxisanleiter covers pedagogy and didactics broadly but rarely addresses assessment documentation specifically.</w:t>
      </w:r>
    </w:p>
    <w:p>
      <w:pPr>
        <w:spacing w:after="100"/>
      </w:pPr>
    </w:p>
    <w:p>
      <w:pPr>
        <w:pStyle w:val="Heading2"/>
      </w:pPr>
      <w:r>
        <w:t xml:space="preserve">The writing happens after long shifts</w:t>
      </w:r>
    </w:p>
    <w:p>
      <w:r>
        <w:rPr>
          <w:rFonts w:ascii="Arial" w:cs="Arial" w:eastAsia="Arial" w:hAnsi="Arial"/>
          <w:sz w:val="22"/>
          <w:szCs w:val="22"/>
        </w:rPr>
        <w:t xml:space="preserve">In both markets, instructors write assessment documentation outside their clinical hours — typically in the evening after a 12-hour shift. This is the core user experience problem that both ProPrecept and PraxisProfi address: the writing itself is the final barrier between observation and documented assessment, and it happens when cognitive resources are lowest.</w:t>
      </w:r>
    </w:p>
    <w:p>
      <w:pPr>
        <w:spacing w:after="100"/>
      </w:pPr>
    </w:p>
    <w:p>
      <w:pPr>
        <w:pStyle w:val="Heading2"/>
      </w:pPr>
      <w:r>
        <w:t xml:space="preserve">No existing tool addresses this</w:t>
      </w:r>
    </w:p>
    <w:p>
      <w:r>
        <w:rPr>
          <w:rFonts w:ascii="Arial" w:cs="Arial" w:eastAsia="Arial" w:hAnsi="Arial"/>
          <w:sz w:val="22"/>
          <w:szCs w:val="22"/>
        </w:rPr>
        <w:t xml:space="preserve">Neither market has an existing tool that transforms rough instructor observations into professional, framework-aligned assessment feedback. In Ireland, MyCad digitises the form but leaves the text fields blank. In Germany, there is no national digital platform at all — the BIBB provides template forms, but no writing assistance.</w:t>
      </w:r>
    </w:p>
    <w:p>
      <w:pPr>
        <w:spacing w:after="200"/>
      </w:pPr>
    </w:p>
    <w:p>
      <w:pPr>
        <w:pStyle w:val="Heading1"/>
      </w:pPr>
      <w:r>
        <w:t xml:space="preserve">Structural Differences That Matter for Product Design</w:t>
      </w:r>
    </w:p>
    <w:p>
      <w:r>
        <w:rPr>
          <w:rFonts w:ascii="Arial" w:cs="Arial" w:eastAsia="Arial" w:hAnsi="Arial"/>
          <w:sz w:val="22"/>
          <w:szCs w:val="22"/>
        </w:rPr>
        <w:t xml:space="preserve">While the pain points are shared, the assessment structures differ in ways that affect product architecture. The PraxisProfi development thread should pay close attention to these distinctions.</w:t>
      </w:r>
    </w:p>
    <w:p>
      <w:pPr>
        <w:spacing w:after="120"/>
      </w:pPr>
    </w:p>
    <w:p>
      <w:pPr>
        <w:pStyle w:val="Heading2"/>
      </w:pPr>
      <w:r>
        <w:t xml:space="preserve">Assessment model shape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413"/>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r>
              <w:rPr>
                <w:rFonts w:ascii="Arial" w:cs="Arial" w:eastAsia="Arial" w:hAnsi="Arial"/>
                <w:b/>
                <w:bCs/>
                <w:color w:val="FFFFFF"/>
                <w:sz w:val="20"/>
                <w:szCs w:val="20"/>
              </w:rPr>
              <w:t xml:space="preserve">Ireland (ProPrecept)</w:t>
            </w:r>
          </w:p>
        </w:tc>
        <w:tc>
          <w:tcPr>
            <w:tcW w:type="dxa" w:w="3413"/>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r>
              <w:rPr>
                <w:rFonts w:ascii="Arial" w:cs="Arial" w:eastAsia="Arial" w:hAnsi="Arial"/>
                <w:b/>
                <w:bCs/>
                <w:color w:val="FFFFFF"/>
                <w:sz w:val="20"/>
                <w:szCs w:val="20"/>
              </w:rPr>
              <w:t xml:space="preserve">Germany (PraxisProfi)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Model type</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Hybrid: per-competency indicators + narrative summary</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Three-conversation + holistic narrative + rating scale (++/+/0/-/--)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Output structure</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met_requirements, gaps, action_items → maps to NCAD text fields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Same JSON output works for Beurteilungsbogen; conversation mode is additional opportunity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Per-item sign-off?</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Yes — evidence per competency indicator</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 — holistic narrative across 5 Kompetenzbereiche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Form standardisation</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One national NCAD form</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BIBB template adapted per institution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Digital workflow</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Copy ProPrecept output → paste into MyCad</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Copy output → paste into paper form or institution-specific template</w:t>
            </w:r>
          </w:p>
        </w:tc>
      </w:tr>
    </w:tbl>
    <w:p>
      <w:pPr>
        <w:spacing w:after="200"/>
      </w:pPr>
    </w:p>
    <w:p>
      <w:pPr>
        <w:pStyle w:val="Heading2"/>
      </w:pPr>
      <w:r>
        <w:t xml:space="preserve">Conversation documentation: Germany’s unique use case</w:t>
      </w:r>
    </w:p>
    <w:p>
      <w:r>
        <w:rPr>
          <w:rFonts w:ascii="Arial" w:cs="Arial" w:eastAsia="Arial" w:hAnsi="Arial"/>
          <w:sz w:val="22"/>
          <w:szCs w:val="22"/>
        </w:rPr>
        <w:t xml:space="preserve">Germany’s three-conversation model (Erstgespräch, Zwischengespräch, Abschlussgespräch) creates a product opportunity that does not exist in Ireland. Each conversation requires 1.5–3 pages of structured documentation. PraxisProfi could serve two distinct use cases from the same interface:</w:t>
      </w:r>
    </w:p>
    <w:p>
      <w:pPr>
        <w:spacing w:after="60"/>
      </w:pPr>
    </w:p>
    <w:p>
      <w:pPr>
        <w:pStyle w:val="ListParagraph"/>
        <w:numPr>
          <w:ilvl w:val="0"/>
          <w:numId w:val="2"/>
        </w:numPr>
        <w:spacing w:after="60"/>
      </w:pPr>
      <w:r>
        <w:rPr>
          <w:rFonts w:ascii="Arial" w:cs="Arial" w:eastAsia="Arial" w:hAnsi="Arial"/>
          <w:b w:val="false"/>
          <w:bCs w:val="false"/>
          <w:sz w:val="22"/>
          <w:szCs w:val="22"/>
        </w:rPr>
        <w:t xml:space="preserve">Beurteilung mode (current): rough notes → formal assessment narrative. This is the direct WritingPAD/ProPrecept port.</w:t>
      </w:r>
    </w:p>
    <w:p>
      <w:pPr>
        <w:pStyle w:val="ListParagraph"/>
        <w:numPr>
          <w:ilvl w:val="0"/>
          <w:numId w:val="2"/>
        </w:numPr>
        <w:spacing w:after="60"/>
      </w:pPr>
      <w:r>
        <w:rPr>
          <w:rFonts w:ascii="Arial" w:cs="Arial" w:eastAsia="Arial" w:hAnsi="Arial"/>
          <w:b w:val="false"/>
          <w:bCs w:val="false"/>
          <w:sz w:val="22"/>
          <w:szCs w:val="22"/>
        </w:rPr>
        <w:t xml:space="preserve">Conversation documentation mode (future): rough notes from a Gespräch → structured conversation record. This is unique to Germany (and Austria).</w:t>
      </w:r>
    </w:p>
    <w:p>
      <w:pPr>
        <w:spacing w:after="100"/>
      </w:pPr>
    </w:p>
    <w:p>
      <w:r>
        <w:rPr>
          <w:rFonts w:ascii="Arial" w:cs="Arial" w:eastAsia="Arial" w:hAnsi="Arial"/>
          <w:sz w:val="22"/>
          <w:szCs w:val="22"/>
        </w:rPr>
        <w:t xml:space="preserve">The ProPrecept Ireland experience suggests launching with the simpler mode first (Beurteilung — equivalent to ProPrecept’s current function) and expanding to conversation documentation once the prompt contract is validated by native German speakers.</w:t>
      </w:r>
    </w:p>
    <w:p>
      <w:pPr>
        <w:spacing w:after="200"/>
      </w:pPr>
    </w:p>
    <w:p>
      <w:pPr>
        <w:pStyle w:val="Heading1"/>
      </w:pPr>
      <w:r>
        <w:t xml:space="preserve">Digital Maturity Comparison</w:t>
      </w:r>
    </w:p>
    <w:p>
      <w:r>
        <w:rPr>
          <w:rFonts w:ascii="Arial" w:cs="Arial" w:eastAsia="Arial" w:hAnsi="Arial"/>
          <w:sz w:val="22"/>
          <w:szCs w:val="22"/>
        </w:rPr>
        <w:t xml:space="preserve">One of the most significant differences between the two markets is the state of digital infrastructure. This has direct implications for PraxisProfi’s market entry strategy.</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c>
          <w:tcPr>
            <w:tcW w:type="dxa" w:w="260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r>
              <w:rPr>
                <w:rFonts w:ascii="Arial" w:cs="Arial" w:eastAsia="Arial" w:hAnsi="Arial"/>
                <w:b/>
                <w:bCs/>
                <w:color w:val="FFFFFF"/>
                <w:sz w:val="20"/>
                <w:szCs w:val="20"/>
              </w:rPr>
              <w:t xml:space="preserve">Digital Factor</w:t>
            </w:r>
          </w:p>
        </w:tc>
        <w:tc>
          <w:tcPr>
            <w:tcW w:type="dxa" w:w="3213"/>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r>
              <w:rPr>
                <w:rFonts w:ascii="Arial" w:cs="Arial" w:eastAsia="Arial" w:hAnsi="Arial"/>
                <w:b/>
                <w:bCs/>
                <w:color w:val="FFFFFF"/>
                <w:sz w:val="20"/>
                <w:szCs w:val="20"/>
              </w:rPr>
              <w:t xml:space="preserve">Ireland</w:t>
            </w:r>
          </w:p>
        </w:tc>
        <w:tc>
          <w:tcPr>
            <w:tcW w:type="dxa" w:w="3213"/>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r>
              <w:rPr>
                <w:rFonts w:ascii="Arial" w:cs="Arial" w:eastAsia="Arial" w:hAnsi="Arial"/>
                <w:b/>
                <w:bCs/>
                <w:color w:val="FFFFFF"/>
                <w:sz w:val="20"/>
                <w:szCs w:val="20"/>
              </w:rPr>
              <w:t xml:space="preserve">Germany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National platform</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MyCad — web-based, responsive, role-based access</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None. Paper-based or institution-specific systems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Platform maturity</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Live at 2 HEIs, rolling out to 18</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BIBB FEL electronic training record project in development (results expected 2024–2025)</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Copy-paste workflow</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ProPrecept → MyCad text field (established)</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PraxisProfi → paper form or local Word template (fragmented)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DSGVO/GDPR compliance</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MyCad handles data storage; ProPrecept stores nothing</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 platform = no centralised data handling; DSGVO compliance is institution-by-institution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Instructor tech comfort</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Moderate — MyCad adoption is normalising digital tools</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Variable — paper culture in many institutions; 24-hr CPD doesn’t include digital skills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Market timing</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ProPrecept launches alongside MyCad rollout (ideal)</w:t>
            </w:r>
          </w:p>
        </w:tc>
        <w:tc>
          <w:tcPr>
            <w:tcW w:type="dxa" w:w="32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PraxisProfi launches ahead of any national digital platform (first-mover but no ecosystem)</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7B" w:sz="6"/>
              <w:left w:val="single" w:color="CCCCCC" w:sz="1"/>
              <w:bottom w:val="single" w:color="CCCCCC" w:sz="1"/>
              <w:right w:val="single" w:color="CCCCCC" w:sz="1"/>
            </w:tcBorders>
            <w:shd w:fill="D5E8F0" w:val="clear"/>
            <w:tcMar>
              <w:top w:type="dxa" w:w="160"/>
              <w:left w:type="dxa" w:w="200"/>
              <w:bottom w:type="dxa" w:w="160"/>
              <w:right w:type="dxa" w:w="200"/>
            </w:tcMar>
          </w:tcPr>
          <w:p>
            <w:pPr>
              <w:spacing w:after="60"/>
            </w:pPr>
            <w:r>
              <w:rPr>
                <w:rFonts w:ascii="Arial" w:cs="Arial" w:eastAsia="Arial" w:hAnsi="Arial"/>
                <w:b/>
                <w:bCs/>
                <w:color w:val="1B5E7B"/>
                <w:sz w:val="22"/>
                <w:szCs w:val="22"/>
              </w:rPr>
              <w:t xml:space="preserve">Strategic Implication</w:t>
            </w:r>
          </w:p>
          <w:p>
            <w:pPr>
              <w:spacing w:after="60"/>
            </w:pPr>
            <w:r>
              <w:rPr>
                <w:rFonts w:ascii="Arial" w:cs="Arial" w:eastAsia="Arial" w:hAnsi="Arial"/>
                <w:sz w:val="21"/>
                <w:szCs w:val="21"/>
              </w:rPr>
              <w:t xml:space="preserve">In Ireland, ProPrecept rides the MyCad wave — as institutions adopt the digital platform, preceptors need help filling in the blank text fields, and ProPrecept is right there. In Germany, PraxisProfi doesn’t have that wave to ride yet. The opportunity is arguably larger (no platform lock-in, no competitor), but the adoption pathway is different: PraxisProfi needs to demonstrate value in a paper-first workflow until Germany’s digital infrastructure catches up.</w:t>
            </w:r>
          </w:p>
        </w:tc>
      </w:tr>
    </w:tbl>
    <w:p>
      <w:pPr>
        <w:spacing w:after="200"/>
      </w:pPr>
    </w:p>
    <w:p>
      <w:pPr>
        <w:pStyle w:val="Heading1"/>
      </w:pPr>
      <w:r>
        <w:t xml:space="preserve">The Training Scaffold Parallel</w:t>
      </w:r>
    </w:p>
    <w:p>
      <w:r>
        <w:rPr>
          <w:rFonts w:ascii="Arial" w:cs="Arial" w:eastAsia="Arial" w:hAnsi="Arial"/>
          <w:sz w:val="22"/>
          <w:szCs w:val="22"/>
        </w:rPr>
        <w:t xml:space="preserve">In the ProPrecept Ireland thread, we identified a “tool-as-training-scaffold” positioning: repeated use of ProPrecept builds familiarity with NCAD-appropriate language, even though ProPrecept is not a formal training programme. This positioning is even more relevant for PraxisProfi, for three reasons.</w:t>
      </w:r>
    </w:p>
    <w:p>
      <w:pPr>
        <w:spacing w:after="120"/>
      </w:pPr>
    </w:p>
    <w:p>
      <w:pPr>
        <w:pStyle w:val="Heading3"/>
      </w:pPr>
      <w:r>
        <w:t xml:space="preserve">The PflBG framework is newer</w:t>
      </w:r>
    </w:p>
    <w:p>
      <w:r>
        <w:rPr>
          <w:rFonts w:ascii="Arial" w:cs="Arial" w:eastAsia="Arial" w:hAnsi="Arial"/>
          <w:sz w:val="22"/>
          <w:szCs w:val="22"/>
        </w:rPr>
        <w:t xml:space="preserve">Ireland’s NMBI 6 Domains have been in use since 2005; the NCAD is well-established even if MyCad is new. Germany’s 5 Kompetenzbereiche only came into effect in January 2020. Many active Praxisanleiter trained under the old three-track system and are still building fluency with the new competency language. PraxisProfi’s output — showing instructors what their rough observations look like in PflBG-aligned wording — serves as a practical reference point during this transition.</w:t>
      </w:r>
    </w:p>
    <w:p>
      <w:pPr>
        <w:spacing w:after="100"/>
      </w:pPr>
    </w:p>
    <w:p>
      <w:pPr>
        <w:pStyle w:val="Heading3"/>
      </w:pPr>
      <w:r>
        <w:t xml:space="preserve">The 24-hour CPD requirement creates a hook</w:t>
      </w:r>
    </w:p>
    <w:p>
      <w:r>
        <w:rPr>
          <w:rFonts w:ascii="Arial" w:cs="Arial" w:eastAsia="Arial" w:hAnsi="Arial"/>
          <w:sz w:val="22"/>
          <w:szCs w:val="22"/>
        </w:rPr>
        <w:t xml:space="preserve">German Praxisanleiter must complete 24 hours per year of pedagogically-focused continuing education. While PraxisProfi is not CPD (and should never claim to be), the tool’s implicit learning benefit — building familiarity with competency-aligned assessment language through repeated use — aligns with the spirit of ongoing professional development. Marketing can reference this alignment without overpromising: “PraxisProfi unterstützt Ihre fortlaufende Entwicklung als Praxisanleiter/in” (supports your ongoing development as a practice instructor).</w:t>
      </w:r>
    </w:p>
    <w:p>
      <w:pPr>
        <w:spacing w:after="100"/>
      </w:pPr>
    </w:p>
    <w:p>
      <w:pPr>
        <w:pStyle w:val="Heading3"/>
      </w:pPr>
      <w:r>
        <w:t xml:space="preserve">Institutional variation amplifies the need</w:t>
      </w:r>
    </w:p>
    <w:p>
      <w:r>
        <w:rPr>
          <w:rFonts w:ascii="Arial" w:cs="Arial" w:eastAsia="Arial" w:hAnsi="Arial"/>
          <w:sz w:val="22"/>
          <w:szCs w:val="22"/>
        </w:rPr>
        <w:t xml:space="preserve">Unlike Ireland’s single national NCAD, Germany’s assessment forms vary by institution. A Praxisanleiter moving between hospitals or Pflegeschulen encounters different Beurteilungsbogen formats. PraxisProfi’s generic JSON output (met_requirements, gaps, action_items) is format-agnostic by design — the professional narrative it generates can be pasted into any institution’s form. This portability is a selling point that ProPrecept Ireland doesn’t need to emphasise (because Ireland uses one form).</w:t>
      </w:r>
    </w:p>
    <w:p>
      <w:pPr>
        <w:spacing w:after="200"/>
      </w:pPr>
    </w:p>
    <w:p>
      <w:pPr>
        <w:pStyle w:val="Heading1"/>
      </w:pPr>
      <w:r>
        <w:t xml:space="preserve">Timing and Market Entry Strategy</w:t>
      </w:r>
    </w:p>
    <w:p>
      <w:r>
        <w:rPr>
          <w:rFonts w:ascii="Arial" w:cs="Arial" w:eastAsia="Arial" w:hAnsi="Arial"/>
          <w:sz w:val="22"/>
          <w:szCs w:val="22"/>
        </w:rPr>
        <w:t xml:space="preserve">The parallel between the two markets suggests different but complementary timing strategies.</w:t>
      </w:r>
    </w:p>
    <w:p>
      <w:pPr>
        <w:spacing w:after="120"/>
      </w:pPr>
    </w:p>
    <w:p>
      <w:pPr>
        <w:pStyle w:val="Heading2"/>
      </w:pPr>
      <w:r>
        <w:t xml:space="preserve">Ireland: ride the MyCad wave</w:t>
      </w:r>
    </w:p>
    <w:p>
      <w:r>
        <w:rPr>
          <w:rFonts w:ascii="Arial" w:cs="Arial" w:eastAsia="Arial" w:hAnsi="Arial"/>
          <w:sz w:val="22"/>
          <w:szCs w:val="22"/>
        </w:rPr>
        <w:t xml:space="preserve">ProPrecept Ireland’s timing is excellent. MyCad is in active rollout (2 of 18 HEIs live, others coming). Each new institution that adopts MyCad creates a cohort of preceptors who suddenly need to fill in digital text fields — and ProPrecept is positioned as the writing assistant for exactly that moment. The blog content, SEO strategy, and community marketing are all calibrated to this rollout timeline.</w:t>
      </w:r>
    </w:p>
    <w:p>
      <w:pPr>
        <w:spacing w:after="100"/>
      </w:pPr>
    </w:p>
    <w:p>
      <w:pPr>
        <w:pStyle w:val="Heading2"/>
      </w:pPr>
      <w:r>
        <w:t xml:space="preserve">Germany: establish before the digital wave arrives</w:t>
      </w:r>
    </w:p>
    <w:p>
      <w:r>
        <w:rPr>
          <w:rFonts w:ascii="Arial" w:cs="Arial" w:eastAsia="Arial" w:hAnsi="Arial"/>
          <w:sz w:val="22"/>
          <w:szCs w:val="22"/>
        </w:rPr>
        <w:t xml:space="preserve">PraxisProfi’s timing is different. Germany doesn’t have its “MyCad moment” yet — but the documentation burden exists right now, on paper. The strategic play is to establish PraxisProfi as the go-to writing tool for Praxisanleiter before any national digital platform emerges. When Germany’s digital transformation does arrive (whether through the BIBB FEL project or a commercial platform), PraxisProfi will already be the tool Praxisanleiter associate with professional assessment writing.</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7B" w:sz="6"/>
              <w:left w:val="single" w:color="CCCCCC" w:sz="1"/>
              <w:bottom w:val="single" w:color="CCCCCC" w:sz="1"/>
              <w:right w:val="single" w:color="CCCCCC" w:sz="1"/>
            </w:tcBorders>
            <w:shd w:fill="FFF3CD" w:val="clear"/>
            <w:tcMar>
              <w:top w:type="dxa" w:w="160"/>
              <w:left w:type="dxa" w:w="200"/>
              <w:bottom w:type="dxa" w:w="160"/>
              <w:right w:type="dxa" w:w="200"/>
            </w:tcMar>
          </w:tcPr>
          <w:p>
            <w:pPr>
              <w:spacing w:after="60"/>
            </w:pPr>
            <w:r>
              <w:rPr>
                <w:rFonts w:ascii="Arial" w:cs="Arial" w:eastAsia="Arial" w:hAnsi="Arial"/>
                <w:b/>
                <w:bCs/>
                <w:color w:val="1B5E7B"/>
                <w:sz w:val="22"/>
                <w:szCs w:val="22"/>
              </w:rPr>
              <w:t xml:space="preserve">First-Mover Advantage</w:t>
            </w:r>
          </w:p>
          <w:p>
            <w:pPr>
              <w:spacing w:after="60"/>
            </w:pPr>
            <w:r>
              <w:rPr>
                <w:rFonts w:ascii="Arial" w:cs="Arial" w:eastAsia="Arial" w:hAnsi="Arial"/>
                <w:sz w:val="21"/>
                <w:szCs w:val="21"/>
              </w:rPr>
              <w:t xml:space="preserve">Ireland’s lesson: ProPrecept is launching alongside MyCad and needs to establish itself as the writing companion before anyone else does. Germany’s opportunity: PraxisProfi can establish itself as the writing standard before a digital platform even exists, creating brand loyalty that persists when the platform arrives. Your German legal entity (ML Upskill Agents UG) is already in place, eliminating the biggest non-technical barrier to EU market entry.</w:t>
            </w:r>
          </w:p>
        </w:tc>
      </w:tr>
    </w:tbl>
    <w:p>
      <w:pPr>
        <w:spacing w:after="200"/>
      </w:pPr>
    </w:p>
    <w:p>
      <w:pPr>
        <w:pStyle w:val="Heading1"/>
      </w:pPr>
      <w:r>
        <w:t xml:space="preserve">Advantages for PraxisProfi from Ireland’s Experience</w:t>
      </w:r>
    </w:p>
    <w:p>
      <w:r>
        <w:rPr>
          <w:rFonts w:ascii="Arial" w:cs="Arial" w:eastAsia="Arial" w:hAnsi="Arial"/>
          <w:sz w:val="22"/>
          <w:szCs w:val="22"/>
        </w:rPr>
        <w:t xml:space="preserve">Building ProPrecept Ireland before PraxisProfi provides several concrete advantages for the German launch.</w:t>
      </w:r>
    </w:p>
    <w:p>
      <w:pPr>
        <w:spacing w:after="120"/>
      </w:pPr>
    </w:p>
    <w:p>
      <w:pPr>
        <w:pStyle w:val="ListParagraph"/>
        <w:numPr>
          <w:ilvl w:val="0"/>
          <w:numId w:val="3"/>
        </w:numPr>
        <w:spacing w:after="60"/>
      </w:pPr>
      <w:r>
        <w:rPr>
          <w:rFonts w:ascii="Arial" w:cs="Arial" w:eastAsia="Arial" w:hAnsi="Arial"/>
          <w:sz w:val="22"/>
          <w:szCs w:val="22"/>
        </w:rPr>
        <w:t xml:space="preserve">Prompt contract methodology is proven. The contract pattern (structured JSON spec encoding domain expertise) is validated in the UK and Ireland. The German prompt contract is a rewrite, not an invention.</w:t>
      </w:r>
    </w:p>
    <w:p>
      <w:pPr>
        <w:pStyle w:val="ListParagraph"/>
        <w:numPr>
          <w:ilvl w:val="0"/>
          <w:numId w:val="3"/>
        </w:numPr>
        <w:spacing w:after="60"/>
      </w:pPr>
      <w:r>
        <w:rPr>
          <w:rFonts w:ascii="Arial" w:cs="Arial" w:eastAsia="Arial" w:hAnsi="Arial"/>
          <w:sz w:val="22"/>
          <w:szCs w:val="22"/>
        </w:rPr>
        <w:t xml:space="preserve">The “tool-as-training-scaffold” positioning is tested. Ireland’s blog content, methodology page, and about page now articulate this positioning clearly. The German equivalents can adapt this messaging rather than developing it from scratch.</w:t>
      </w:r>
    </w:p>
    <w:p>
      <w:pPr>
        <w:pStyle w:val="ListParagraph"/>
        <w:numPr>
          <w:ilvl w:val="0"/>
          <w:numId w:val="3"/>
        </w:numPr>
        <w:spacing w:after="60"/>
      </w:pPr>
      <w:r>
        <w:rPr>
          <w:rFonts w:ascii="Arial" w:cs="Arial" w:eastAsia="Arial" w:hAnsi="Arial"/>
          <w:sz w:val="22"/>
          <w:szCs w:val="22"/>
        </w:rPr>
        <w:t xml:space="preserve">The blog content pipeline is established. Ireland’s 40-topic SEO calendar provides a template. German topics will differ in specifics but follow the same structural pattern: “How to write [specific assessment type]” → “The hard part is finding the time” → “Try PraxisProfi.”</w:t>
      </w:r>
    </w:p>
    <w:p>
      <w:pPr>
        <w:pStyle w:val="ListParagraph"/>
        <w:numPr>
          <w:ilvl w:val="0"/>
          <w:numId w:val="3"/>
        </w:numPr>
        <w:spacing w:after="60"/>
      </w:pPr>
      <w:r>
        <w:rPr>
          <w:rFonts w:ascii="Arial" w:cs="Arial" w:eastAsia="Arial" w:hAnsi="Arial"/>
          <w:sz w:val="22"/>
          <w:szCs w:val="22"/>
        </w:rPr>
        <w:t xml:space="preserve">Canonical test case methodology is reusable. Ireland’s 28+ test cases, covering core scenarios, data quality challenges, and edge cases, provide the structural template for German test cases. The scenarios change; the testing framework doesn’t.</w:t>
      </w:r>
    </w:p>
    <w:p>
      <w:pPr>
        <w:pStyle w:val="ListParagraph"/>
        <w:numPr>
          <w:ilvl w:val="0"/>
          <w:numId w:val="3"/>
        </w:numPr>
        <w:spacing w:after="60"/>
      </w:pPr>
      <w:r>
        <w:rPr>
          <w:rFonts w:ascii="Arial" w:cs="Arial" w:eastAsia="Arial" w:hAnsi="Arial"/>
          <w:sz w:val="22"/>
          <w:szCs w:val="22"/>
        </w:rPr>
        <w:t xml:space="preserve">Community marketing patterns transfer. Ireland’s strategy (Facebook groups, professional body engagement, publication outreach) maps to Germany’s equivalents (Facebook groups, XING, DBfK, Die Schwester Der Pfleger).</w:t>
      </w:r>
    </w:p>
    <w:p>
      <w:pPr>
        <w:pStyle w:val="ListParagraph"/>
        <w:numPr>
          <w:ilvl w:val="0"/>
          <w:numId w:val="3"/>
        </w:numPr>
        <w:spacing w:after="60"/>
      </w:pPr>
      <w:r>
        <w:rPr>
          <w:rFonts w:ascii="Arial" w:cs="Arial" w:eastAsia="Arial" w:hAnsi="Arial"/>
          <w:sz w:val="22"/>
          <w:szCs w:val="22"/>
        </w:rPr>
        <w:t xml:space="preserve">Localization patterns are documented. The terminology map, 8 localization axes, and assessment workflow research already exist for Germany. This infrastructure was built during the PraxisProfi scaffold phase and is ready for use.</w:t>
      </w:r>
    </w:p>
    <w:p>
      <w:pPr>
        <w:pStyle w:val="ListParagraph"/>
        <w:numPr>
          <w:ilvl w:val="0"/>
          <w:numId w:val="3"/>
        </w:numPr>
        <w:spacing w:after="60"/>
      </w:pPr>
      <w:r>
        <w:rPr>
          <w:rFonts w:ascii="Arial" w:cs="Arial" w:eastAsia="Arial" w:hAnsi="Arial"/>
          <w:sz w:val="22"/>
          <w:szCs w:val="22"/>
        </w:rPr>
        <w:t xml:space="preserve">The training scaffold disclaimer is already worded. Ireland’s methodology page includes clear disclaimers (“not a training programme,” “not affiliated with or endorsed by [regulatory body]”). The German equivalents need translation, not creation.</w:t>
      </w:r>
    </w:p>
    <w:p>
      <w:pPr>
        <w:spacing w:after="200"/>
      </w:pPr>
    </w:p>
    <w:p>
      <w:pPr>
        <w:pStyle w:val="Heading1"/>
      </w:pPr>
      <w:r>
        <w:t xml:space="preserve">Challenges Specific to the German Market</w:t>
      </w:r>
    </w:p>
    <w:p>
      <w:r>
        <w:rPr>
          <w:rFonts w:ascii="Arial" w:cs="Arial" w:eastAsia="Arial" w:hAnsi="Arial"/>
          <w:sz w:val="22"/>
          <w:szCs w:val="22"/>
        </w:rPr>
        <w:t xml:space="preserve">The parallels are genuine, but there are significant differences that make the German port more complex than the Irish one.</w:t>
      </w:r>
    </w:p>
    <w:p>
      <w:pPr>
        <w:spacing w:after="120"/>
      </w:pPr>
    </w:p>
    <w:p>
      <w:pPr>
        <w:pStyle w:val="Heading2"/>
      </w:pPr>
      <w:r>
        <w:t xml:space="preserve">Language quality bar</w:t>
      </w:r>
    </w:p>
    <w:p>
      <w:r>
        <w:rPr>
          <w:rFonts w:ascii="Arial" w:cs="Arial" w:eastAsia="Arial" w:hAnsi="Arial"/>
          <w:sz w:val="22"/>
          <w:szCs w:val="22"/>
        </w:rPr>
        <w:t xml:space="preserve">German formal register (Schriftdeutsch) is demanding. The prompt contract output must read like it was written by a seasoned Praxisanleiter, not translated from English. This is the single largest risk factor for PraxisProfi’s quality. The prompt contract is in DRAFT status and requires native German-speaking Praxisanleiter review before it can go to production. The collaboration guide estimates 3–5 hours for Phase 1 language review plus 5–10 hours for Phase 2 iteration testing.</w:t>
      </w:r>
    </w:p>
    <w:p>
      <w:pPr>
        <w:spacing w:after="100"/>
      </w:pPr>
    </w:p>
    <w:p>
      <w:pPr>
        <w:pStyle w:val="Heading2"/>
      </w:pPr>
      <w:r>
        <w:t xml:space="preserve">No national form standardisation</w:t>
      </w:r>
    </w:p>
    <w:p>
      <w:r>
        <w:rPr>
          <w:rFonts w:ascii="Arial" w:cs="Arial" w:eastAsia="Arial" w:hAnsi="Arial"/>
          <w:sz w:val="22"/>
          <w:szCs w:val="22"/>
        </w:rPr>
        <w:t xml:space="preserve">Ireland’s single NCAD means one set of competency indicators, one set of text fields, one workflow. Germany’s institutional variation means a Praxisanleiter at one hospital may encounter a different Beurteilungsbogen than at another. PraxisProfi’s output must be generic enough to fit any institution’s format. The JSON output model (met_requirements, gaps, action_items) handles this well — but user guidance and marketing need to address the “how do I paste this into my specific form” question explicitly.</w:t>
      </w:r>
    </w:p>
    <w:p>
      <w:pPr>
        <w:spacing w:after="100"/>
      </w:pPr>
    </w:p>
    <w:p>
      <w:pPr>
        <w:pStyle w:val="Heading2"/>
      </w:pPr>
      <w:r>
        <w:t xml:space="preserve">Paper-first workflow</w:t>
      </w:r>
    </w:p>
    <w:p>
      <w:r>
        <w:rPr>
          <w:rFonts w:ascii="Arial" w:cs="Arial" w:eastAsia="Arial" w:hAnsi="Arial"/>
          <w:sz w:val="22"/>
          <w:szCs w:val="22"/>
        </w:rPr>
        <w:t xml:space="preserve">MyCad gives ProPrecept a clean digital copy-paste workflow. PraxisProfi’s users may be printing the output or typing it from screen to paper. The voice input feature (Deepgram ‘de’ model on Nova-3) becomes more critical in this context — it allows instructors to dictate observations rather than type, which fits a paper-workflow culture where typing is less natural.</w:t>
      </w:r>
    </w:p>
    <w:p>
      <w:pPr>
        <w:spacing w:after="100"/>
      </w:pPr>
    </w:p>
    <w:p>
      <w:pPr>
        <w:pStyle w:val="Heading2"/>
      </w:pPr>
      <w:r>
        <w:t xml:space="preserve">Marketing in German</w:t>
      </w:r>
    </w:p>
    <w:p>
      <w:r>
        <w:rPr>
          <w:rFonts w:ascii="Arial" w:cs="Arial" w:eastAsia="Arial" w:hAnsi="Arial"/>
          <w:sz w:val="22"/>
          <w:szCs w:val="22"/>
        </w:rPr>
        <w:t xml:space="preserve">All user-facing content — landing page, blog posts, social media, support documentation — must be in German. This is an ongoing cost, not a one-time effort. The community marketing strategy already identifies the key German channels (Facebook groups, XING, DBfK, Die Schwester Der Pfleger, Pflegepädagogik im Diskurs conference), but executing in German requires either native-level writing or a German-speaking marketing partner.</w:t>
      </w:r>
    </w:p>
    <w:p>
      <w:pPr>
        <w:spacing w:after="100"/>
      </w:pPr>
    </w:p>
    <w:p>
      <w:pPr>
        <w:pStyle w:val="Heading2"/>
      </w:pPr>
      <w:r>
        <w:t xml:space="preserve">Slower adoption curve</w:t>
      </w:r>
    </w:p>
    <w:p>
      <w:r>
        <w:rPr>
          <w:rFonts w:ascii="Arial" w:cs="Arial" w:eastAsia="Arial" w:hAnsi="Arial"/>
          <w:sz w:val="22"/>
          <w:szCs w:val="22"/>
        </w:rPr>
        <w:t xml:space="preserve">German healthcare is conservative about technology adoption. Ireland’s MyCad rollout is actively normalising digital tools for preceptors, creating a tailwind for ProPrecept. Germany has no equivalent tailwind. The marketing strategy’s emphasis on “DSGVO-konform, PflBG-ready, Made in Germany” is critical for building trust in a market that is cautious about AI in healthcare.</w:t>
      </w:r>
    </w:p>
    <w:p>
      <w:pPr>
        <w:spacing w:after="200"/>
      </w:pPr>
    </w:p>
    <w:p>
      <w:pPr>
        <w:pStyle w:val="Heading1"/>
      </w:pPr>
      <w:r>
        <w:t xml:space="preserve">Effort Comparison</w:t>
      </w:r>
    </w:p>
    <w:p>
      <w:r>
        <w:rPr>
          <w:rFonts w:ascii="Arial" w:cs="Arial" w:eastAsia="Arial" w:hAnsi="Arial"/>
          <w:sz w:val="22"/>
          <w:szCs w:val="22"/>
        </w:rPr>
        <w:t xml:space="preserve">The following table compares the effort required for each market, based on the existing project documentation.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tc>
          <w:tcPr>
            <w:tcW w:type="dxa" w:w="3200"/>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913"/>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r>
              <w:rPr>
                <w:rFonts w:ascii="Arial" w:cs="Arial" w:eastAsia="Arial" w:hAnsi="Arial"/>
                <w:b/>
                <w:bCs/>
                <w:color w:val="FFFFFF"/>
                <w:sz w:val="20"/>
                <w:szCs w:val="20"/>
              </w:rPr>
              <w:t xml:space="preserve">ProPrecept Ireland</w:t>
            </w:r>
          </w:p>
        </w:tc>
        <w:tc>
          <w:tcPr>
            <w:tcW w:type="dxa" w:w="2913"/>
            <w:tcBorders>
              <w:top w:val="single" w:color="CCCCCC" w:sz="1"/>
              <w:left w:val="single" w:color="CCCCCC" w:sz="1"/>
              <w:bottom w:val="single" w:color="CCCCCC" w:sz="1"/>
              <w:right w:val="single" w:color="CCCCCC" w:sz="1"/>
            </w:tcBorders>
            <w:shd w:fill="1B5E7B" w:val="clear"/>
            <w:tcMar>
              <w:top w:type="dxa" w:w="80"/>
              <w:left w:type="dxa" w:w="120"/>
              <w:bottom w:type="dxa" w:w="80"/>
              <w:right w:type="dxa" w:w="120"/>
            </w:tcMar>
          </w:tcPr>
          <w:p>
            <w:r>
              <w:rPr>
                <w:rFonts w:ascii="Arial" w:cs="Arial" w:eastAsia="Arial" w:hAnsi="Arial"/>
                <w:b/>
                <w:bCs/>
                <w:color w:val="FFFFFF"/>
                <w:sz w:val="20"/>
                <w:szCs w:val="20"/>
              </w:rPr>
              <w:t xml:space="preserve">PraxisProfi Germany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Prompt contract</w:t>
            </w:r>
          </w:p>
        </w:tc>
        <w:tc>
          <w:tcPr>
            <w:tcW w:type="dxa" w:w="2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Moderate rewrite from WritingPAD UK (same language)</w:t>
            </w:r>
          </w:p>
        </w:tc>
        <w:tc>
          <w:tcPr>
            <w:tcW w:type="dxa" w:w="2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Full rewrite in German (60–80 hours); requires native speaker validation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UI translation</w:t>
            </w:r>
          </w:p>
        </w:tc>
        <w:tc>
          <w:tcPr>
            <w:tcW w:type="dxa" w:w="2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Terminology swap only (English → Irish English)</w:t>
            </w:r>
          </w:p>
        </w:tc>
        <w:tc>
          <w:tcPr>
            <w:tcW w:type="dxa" w:w="2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Full translation to German (15–20 hours)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Blog/SEO content</w:t>
            </w:r>
          </w:p>
        </w:tc>
        <w:tc>
          <w:tcPr>
            <w:tcW w:type="dxa" w:w="2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40 topics planned; English; moderate effort</w:t>
            </w:r>
          </w:p>
        </w:tc>
        <w:tc>
          <w:tcPr>
            <w:tcW w:type="dxa" w:w="2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Equivalent calendar needed; German; higher per-topic effort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Legal pages</w:t>
            </w:r>
          </w:p>
        </w:tc>
        <w:tc>
          <w:tcPr>
            <w:tcW w:type="dxa" w:w="2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GDPR covered by German UG; Irish consumer law additions</w:t>
            </w:r>
          </w:p>
        </w:tc>
        <w:tc>
          <w:tcPr>
            <w:tcW w:type="dxa" w:w="2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Impressum, Datenschutzerklärung, AGB required (5–8 hours)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Transcription (Deepgram)</w:t>
            </w:r>
          </w:p>
        </w:tc>
        <w:tc>
          <w:tcPr>
            <w:tcW w:type="dxa" w:w="2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en-IE model; Irish nursing keyterms</w:t>
            </w:r>
          </w:p>
        </w:tc>
        <w:tc>
          <w:tcPr>
            <w:tcW w:type="dxa" w:w="2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 model available on Nova-3; German nursing keyterms (~100 terms)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Stripe/billing</w:t>
            </w:r>
          </w:p>
        </w:tc>
        <w:tc>
          <w:tcPr>
            <w:tcW w:type="dxa" w:w="2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EUR via German Stripe account; 23% Irish VAT via OSS</w:t>
            </w:r>
          </w:p>
        </w:tc>
        <w:tc>
          <w:tcPr>
            <w:tcW w:type="dxa" w:w="2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EUR via same account; 19% German USt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Regulatory research</w:t>
            </w:r>
          </w:p>
        </w:tc>
        <w:tc>
          <w:tcPr>
            <w:tcW w:type="dxa" w:w="2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Largely complete (NMBI, NCAD, MyCad well-documented)</w:t>
            </w:r>
          </w:p>
        </w:tc>
        <w:tc>
          <w:tcPr>
            <w:tcW w:type="dxa" w:w="2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Largely complete (PflBG, PflAPrV, BIBB docs reviewed)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Native speaker validation</w:t>
            </w:r>
          </w:p>
        </w:tc>
        <w:tc>
          <w:tcPr>
            <w:tcW w:type="dxa" w:w="2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Not required (English product)</w:t>
            </w:r>
          </w:p>
        </w:tc>
        <w:tc>
          <w:tcPr>
            <w:tcW w:type="dxa" w:w="2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Critical path blocker (3–5 weeks for recruitment + review)</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Total estimated effort</w:t>
            </w:r>
          </w:p>
        </w:tc>
        <w:tc>
          <w:tcPr>
            <w:tcW w:type="dxa" w:w="2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LOW: primarily terminology + prompt contract</w:t>
            </w:r>
          </w:p>
        </w:tc>
        <w:tc>
          <w:tcPr>
            <w:tcW w:type="dxa" w:w="2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MODERATE: 120–160 hours including German prompt + validation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Revenue ceiling (annual)</w:t>
            </w:r>
          </w:p>
        </w:tc>
        <w:tc>
          <w:tcPr>
            <w:tcW w:type="dxa" w:w="2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€50,000–150,000</w:t>
            </w:r>
          </w:p>
        </w:tc>
        <w:tc>
          <w:tcPr>
            <w:tcW w:type="dxa" w:w="2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€100,000–500,000</w:t>
            </w:r>
          </w:p>
        </w:tc>
      </w:tr>
    </w:tbl>
    <w:p>
      <w:pPr>
        <w:spacing w:after="200"/>
      </w:pPr>
    </w:p>
    <w:p>
      <w:pPr>
        <w:pStyle w:val="Heading1"/>
      </w:pPr>
      <w:r>
        <w:t xml:space="preserve">Recommendations for the PraxisProfi Development Thread</w:t>
      </w:r>
    </w:p>
    <w:p>
      <w:r>
        <w:rPr>
          <w:rFonts w:ascii="Arial" w:cs="Arial" w:eastAsia="Arial" w:hAnsi="Arial"/>
          <w:sz w:val="22"/>
          <w:szCs w:val="22"/>
        </w:rPr>
        <w:t xml:space="preserve">Based on this analysis, the following recommendations are offered for the PraxisProfi development effort.</w:t>
      </w:r>
    </w:p>
    <w:p>
      <w:pPr>
        <w:spacing w:after="120"/>
      </w:pPr>
    </w:p>
    <w:p>
      <w:pPr>
        <w:pStyle w:val="Heading3"/>
      </w:pPr>
      <w:r>
        <w:t xml:space="preserve">1. Adopt the training-scaffold positioning from day one</w:t>
      </w:r>
    </w:p>
    <w:p>
      <w:r>
        <w:rPr>
          <w:rFonts w:ascii="Arial" w:cs="Arial" w:eastAsia="Arial" w:hAnsi="Arial"/>
          <w:sz w:val="22"/>
          <w:szCs w:val="22"/>
        </w:rPr>
        <w:t xml:space="preserve">The Ireland experience showed this can be integrated into the methodology page, about page, and blog content with minimal additional effort. For PraxisProfi, emphasise that each use builds familiarity with PflBG competency language. This is especially valuable because the framework is only five years old and many instructors are still building fluency. Use clear disclaimers: PraxisProfi is not accredited CPD, not endorsed by any Pflegekammer or regulatory body, and not a substitute for the 24-hour annual Pflichtfortbildung.</w:t>
      </w:r>
    </w:p>
    <w:p>
      <w:pPr>
        <w:spacing w:after="100"/>
      </w:pPr>
    </w:p>
    <w:p>
      <w:pPr>
        <w:pStyle w:val="Heading3"/>
      </w:pPr>
      <w:r>
        <w:t xml:space="preserve">2. Prioritise the native speaker validation</w:t>
      </w:r>
    </w:p>
    <w:p>
      <w:r>
        <w:rPr>
          <w:rFonts w:ascii="Arial" w:cs="Arial" w:eastAsia="Arial" w:hAnsi="Arial"/>
          <w:sz w:val="22"/>
          <w:szCs w:val="22"/>
        </w:rPr>
        <w:t xml:space="preserve">The prompt contract is the critical path. Everything else (UI, blog, marketing) depends on the output quality being right. The collaboration guide already exists with a clear process (Phase 1: language review, Phase 2: iteration testing) and budget (€300–500 flat fee). Start recruitment immediately if not already in progress. Local hospitals, Pflegeschulen, XING groups, and Facebook Praxisanleitung communities are the recruitment channels.</w:t>
      </w:r>
    </w:p>
    <w:p>
      <w:pPr>
        <w:spacing w:after="100"/>
      </w:pPr>
    </w:p>
    <w:p>
      <w:pPr>
        <w:pStyle w:val="Heading3"/>
      </w:pPr>
      <w:r>
        <w:t xml:space="preserve">3. Launch with Beurteilung mode only</w:t>
      </w:r>
    </w:p>
    <w:p>
      <w:r>
        <w:rPr>
          <w:rFonts w:ascii="Arial" w:cs="Arial" w:eastAsia="Arial" w:hAnsi="Arial"/>
          <w:sz w:val="22"/>
          <w:szCs w:val="22"/>
        </w:rPr>
        <w:t xml:space="preserve">The conversation documentation mode (Erstgespräch/Zwischengespräch/Abschlussgespräch) is a genuine product opportunity unique to Germany, but it’s additional scope. Launch with the direct ProPrecept equivalent (rough notes → professional Beurteilung narrative) and validate product-market fit before expanding.</w:t>
      </w:r>
    </w:p>
    <w:p>
      <w:pPr>
        <w:spacing w:after="100"/>
      </w:pPr>
    </w:p>
    <w:p>
      <w:pPr>
        <w:pStyle w:val="Heading3"/>
      </w:pPr>
      <w:r>
        <w:t xml:space="preserve">4. Emphasise the voice input for paper-workflow users</w:t>
      </w:r>
    </w:p>
    <w:p>
      <w:r>
        <w:rPr>
          <w:rFonts w:ascii="Arial" w:cs="Arial" w:eastAsia="Arial" w:hAnsi="Arial"/>
          <w:sz w:val="22"/>
          <w:szCs w:val="22"/>
        </w:rPr>
        <w:t xml:space="preserve">Germany’s paper-based assessment culture means the “speak your notes → get professional text” workflow may be more compelling than “type rough notes → get professional text.” The Deepgram de model is available on Nova-3. Marketing should lead with the voice input as a primary feature, not a secondary one.</w:t>
      </w:r>
    </w:p>
    <w:p>
      <w:pPr>
        <w:spacing w:after="100"/>
      </w:pPr>
    </w:p>
    <w:p>
      <w:pPr>
        <w:pStyle w:val="Heading3"/>
      </w:pPr>
      <w:r>
        <w:t xml:space="preserve">5. Prepare for institutional variation in marketing</w:t>
      </w:r>
    </w:p>
    <w:p>
      <w:r>
        <w:rPr>
          <w:rFonts w:ascii="Arial" w:cs="Arial" w:eastAsia="Arial" w:hAnsi="Arial"/>
          <w:sz w:val="22"/>
          <w:szCs w:val="22"/>
        </w:rPr>
        <w:t xml:space="preserve">Unlike ProPrecept Ireland (“paste into MyCad”), PraxisProfi needs to address the “how does this fit my specific form?” question. Consider a brief onboarding guide or FAQ that explains: “PraxisProfi generates professional narrative text. Copy the relevant sections into whichever Beurteilungsbogen your institution uses.”</w:t>
      </w:r>
    </w:p>
    <w:p>
      <w:pPr>
        <w:spacing w:after="100"/>
      </w:pPr>
    </w:p>
    <w:p>
      <w:pPr>
        <w:pStyle w:val="Heading3"/>
      </w:pPr>
      <w:r>
        <w:t xml:space="preserve">6. Use Ireland’s blog structure as a template</w:t>
      </w:r>
    </w:p>
    <w:p>
      <w:r>
        <w:rPr>
          <w:rFonts w:ascii="Arial" w:cs="Arial" w:eastAsia="Arial" w:hAnsi="Arial"/>
          <w:sz w:val="22"/>
          <w:szCs w:val="22"/>
        </w:rPr>
        <w:t xml:space="preserve">Ireland’s 40-topic content calendar and 8 published blog posts provide a structural template. Adapt the pattern for German topics: “Wie formuliere ich eine Beurteilung, wenn der/die Auszubildende die Kompetenzen nicht erreicht?” mirrors “Student Not Meeting Competencies: What to Write on the NCAD.” The topics are the same; the regulatory context and language differ.</w:t>
      </w:r>
    </w:p>
    <w:p>
      <w:pPr>
        <w:spacing w:after="200"/>
      </w:pPr>
    </w:p>
    <w:p>
      <w:pPr>
        <w:pStyle w:val="Heading1"/>
      </w:pPr>
      <w:r>
        <w:t xml:space="preserve">Cross-Port Implications</w:t>
      </w:r>
    </w:p>
    <w:p>
      <w:r>
        <w:rPr>
          <w:rFonts w:ascii="Arial" w:cs="Arial" w:eastAsia="Arial" w:hAnsi="Arial"/>
          <w:sz w:val="22"/>
          <w:szCs w:val="22"/>
        </w:rPr>
        <w:t xml:space="preserve">This analysis has implications beyond PraxisProfi specifically.</w:t>
      </w:r>
    </w:p>
    <w:p>
      <w:pPr>
        <w:spacing w:after="120"/>
      </w:pPr>
    </w:p>
    <w:p>
      <w:pPr>
        <w:pStyle w:val="Heading2"/>
      </w:pPr>
      <w:r>
        <w:t xml:space="preserve">For the WritingPAD portfolio</w:t>
      </w:r>
    </w:p>
    <w:p>
      <w:r>
        <w:rPr>
          <w:rFonts w:ascii="Arial" w:cs="Arial" w:eastAsia="Arial" w:hAnsi="Arial"/>
          <w:sz w:val="22"/>
          <w:szCs w:val="22"/>
        </w:rPr>
        <w:t xml:space="preserve">The Ireland–Germany parallel confirms a pattern: nursing education reforms create documentation burdens, instructors struggle with writing, and no tool exists to help. This pattern is likely replicable in other markets undergoing similar reforms. The Assessment Workflow Research document already identifies the key question for each new market: What does the assessment document look like, and what do instructors actually write?</w:t>
      </w:r>
    </w:p>
    <w:p>
      <w:pPr>
        <w:spacing w:after="100"/>
      </w:pPr>
    </w:p>
    <w:p>
      <w:pPr>
        <w:pStyle w:val="Heading2"/>
      </w:pPr>
      <w:r>
        <w:t xml:space="preserve">For the dissertation</w:t>
      </w:r>
    </w:p>
    <w:p>
      <w:r>
        <w:rPr>
          <w:rFonts w:ascii="Arial" w:cs="Arial" w:eastAsia="Arial" w:hAnsi="Arial"/>
          <w:sz w:val="22"/>
          <w:szCs w:val="22"/>
        </w:rPr>
        <w:t xml:space="preserve">The Ireland→Germany progression adds a new dimension to the “automating the independent developer pipeline” dissertation topic. The Ireland port is a minimal adaptation (same language, similar framework). The Germany port is a full localisation (different language, different structure, different legal requirements). Comparing the two provides data on localisation effort as a function of structural distance from the source product — a contribution to the micro-SaaS internationalisation literature.</w:t>
      </w:r>
    </w:p>
    <w:p>
      <w:pPr>
        <w:spacing w:after="200"/>
      </w:pPr>
    </w:p>
    <w:p>
      <w:pPr>
        <w:pStyle w:val="Heading1"/>
      </w:pPr>
      <w:r>
        <w:t xml:space="preserve">Sources and References</w:t>
      </w:r>
    </w:p>
    <w:p>
      <w:pPr>
        <w:pStyle w:val="Heading2"/>
      </w:pPr>
      <w:r>
        <w:t xml:space="preserve">Ireland</w:t>
      </w:r>
    </w:p>
    <w:p>
      <w:pPr>
        <w:pStyle w:val="ListParagraph"/>
        <w:numPr>
          <w:ilvl w:val="0"/>
          <w:numId w:val="2"/>
        </w:numPr>
        <w:spacing w:after="60"/>
      </w:pPr>
      <w:r>
        <w:rPr>
          <w:rFonts w:ascii="Arial" w:cs="Arial" w:eastAsia="Arial" w:hAnsi="Arial"/>
          <w:b w:val="false"/>
          <w:bCs w:val="false"/>
          <w:sz w:val="22"/>
          <w:szCs w:val="22"/>
        </w:rPr>
        <w:t xml:space="preserve">NMBI Nurse Registration Programmes Standards and Requirements (Fifth Edition)</w:t>
      </w:r>
    </w:p>
    <w:p>
      <w:pPr>
        <w:pStyle w:val="ListParagraph"/>
        <w:numPr>
          <w:ilvl w:val="0"/>
          <w:numId w:val="2"/>
        </w:numPr>
        <w:spacing w:after="60"/>
      </w:pPr>
      <w:r>
        <w:rPr>
          <w:rFonts w:ascii="Arial" w:cs="Arial" w:eastAsia="Arial" w:hAnsi="Arial"/>
          <w:b w:val="false"/>
          <w:bCs w:val="false"/>
          <w:sz w:val="22"/>
          <w:szCs w:val="22"/>
        </w:rPr>
        <w:t xml:space="preserve">NMBI National Competence Assessment Documents (NCAD)</w:t>
      </w:r>
    </w:p>
    <w:p>
      <w:pPr>
        <w:pStyle w:val="ListParagraph"/>
        <w:numPr>
          <w:ilvl w:val="0"/>
          <w:numId w:val="2"/>
        </w:numPr>
        <w:spacing w:after="60"/>
      </w:pPr>
      <w:r>
        <w:rPr>
          <w:rFonts w:ascii="Arial" w:cs="Arial" w:eastAsia="Arial" w:hAnsi="Arial"/>
          <w:b w:val="false"/>
          <w:bCs w:val="false"/>
          <w:sz w:val="22"/>
          <w:szCs w:val="22"/>
        </w:rPr>
        <w:t xml:space="preserve">Axia Digital — MyCad platform documentation and rollout timeline</w:t>
      </w:r>
    </w:p>
    <w:p>
      <w:pPr>
        <w:pStyle w:val="ListParagraph"/>
        <w:numPr>
          <w:ilvl w:val="0"/>
          <w:numId w:val="2"/>
        </w:numPr>
        <w:spacing w:after="60"/>
      </w:pPr>
      <w:r>
        <w:rPr>
          <w:rFonts w:ascii="Arial" w:cs="Arial" w:eastAsia="Arial" w:hAnsi="Arial"/>
          <w:b w:val="false"/>
          <w:bCs w:val="false"/>
          <w:sz w:val="22"/>
          <w:szCs w:val="22"/>
        </w:rPr>
        <w:t xml:space="preserve">Cassidy, I. et al. (2012) — Competency Assessment Methods: survey of nurse preceptors in Ireland</w:t>
      </w:r>
    </w:p>
    <w:p>
      <w:pPr>
        <w:pStyle w:val="ListParagraph"/>
        <w:numPr>
          <w:ilvl w:val="0"/>
          <w:numId w:val="2"/>
        </w:numPr>
        <w:spacing w:after="60"/>
      </w:pPr>
      <w:r>
        <w:rPr>
          <w:rFonts w:ascii="Arial" w:cs="Arial" w:eastAsia="Arial" w:hAnsi="Arial"/>
          <w:b w:val="false"/>
          <w:bCs w:val="false"/>
          <w:sz w:val="22"/>
          <w:szCs w:val="22"/>
        </w:rPr>
        <w:t xml:space="preserve">McCarthy, B. &amp; Murphy, S. (2008) — Challenges for preceptors in clinical education</w:t>
      </w:r>
    </w:p>
    <w:p>
      <w:pPr>
        <w:pStyle w:val="ListParagraph"/>
        <w:numPr>
          <w:ilvl w:val="0"/>
          <w:numId w:val="2"/>
        </w:numPr>
        <w:spacing w:after="60"/>
      </w:pPr>
      <w:r>
        <w:rPr>
          <w:rFonts w:ascii="Arial" w:cs="Arial" w:eastAsia="Arial" w:hAnsi="Arial"/>
          <w:b w:val="false"/>
          <w:bCs w:val="false"/>
          <w:sz w:val="22"/>
          <w:szCs w:val="22"/>
        </w:rPr>
        <w:t xml:space="preserve">UCD BSc Nursing Stage 3 NCAD documentation</w:t>
      </w:r>
    </w:p>
    <w:p>
      <w:pPr>
        <w:pStyle w:val="ListParagraph"/>
        <w:numPr>
          <w:ilvl w:val="0"/>
          <w:numId w:val="2"/>
        </w:numPr>
        <w:spacing w:after="60"/>
      </w:pPr>
      <w:r>
        <w:rPr>
          <w:rFonts w:ascii="Arial" w:cs="Arial" w:eastAsia="Arial" w:hAnsi="Arial"/>
          <w:b w:val="false"/>
          <w:bCs w:val="false"/>
          <w:sz w:val="22"/>
          <w:szCs w:val="22"/>
        </w:rPr>
        <w:t xml:space="preserve">ProPrecept Ireland project documentation (prompt contract, methodology, canonical test cases, blog content)</w:t>
      </w:r>
    </w:p>
    <w:p>
      <w:pPr>
        <w:spacing w:after="100"/>
      </w:pPr>
    </w:p>
    <w:p>
      <w:pPr>
        <w:pStyle w:val="Heading2"/>
      </w:pPr>
      <w:r>
        <w:t xml:space="preserve">Germany</w:t>
      </w:r>
    </w:p>
    <w:p>
      <w:pPr>
        <w:pStyle w:val="ListParagraph"/>
        <w:numPr>
          <w:ilvl w:val="0"/>
          <w:numId w:val="2"/>
        </w:numPr>
        <w:spacing w:after="60"/>
      </w:pPr>
      <w:r>
        <w:rPr>
          <w:rFonts w:ascii="Arial" w:cs="Arial" w:eastAsia="Arial" w:hAnsi="Arial"/>
          <w:b w:val="false"/>
          <w:bCs w:val="false"/>
          <w:sz w:val="22"/>
          <w:szCs w:val="22"/>
        </w:rPr>
        <w:t xml:space="preserve">PflBG — Pflegeberufegesetz (Nursing Professions Act, enacted 2017, effective 2020)</w:t>
      </w:r>
    </w:p>
    <w:p>
      <w:pPr>
        <w:pStyle w:val="ListParagraph"/>
        <w:numPr>
          <w:ilvl w:val="0"/>
          <w:numId w:val="2"/>
        </w:numPr>
        <w:spacing w:after="60"/>
      </w:pPr>
      <w:r>
        <w:rPr>
          <w:rFonts w:ascii="Arial" w:cs="Arial" w:eastAsia="Arial" w:hAnsi="Arial"/>
          <w:b w:val="false"/>
          <w:bCs w:val="false"/>
          <w:sz w:val="22"/>
          <w:szCs w:val="22"/>
        </w:rPr>
        <w:t xml:space="preserve">PflAPrV — Pflegeberufe-Ausbildungs- und Prüfungsverordnung</w:t>
      </w:r>
    </w:p>
    <w:p>
      <w:pPr>
        <w:pStyle w:val="ListParagraph"/>
        <w:numPr>
          <w:ilvl w:val="0"/>
          <w:numId w:val="2"/>
        </w:numPr>
        <w:spacing w:after="60"/>
      </w:pPr>
      <w:r>
        <w:rPr>
          <w:rFonts w:ascii="Arial" w:cs="Arial" w:eastAsia="Arial" w:hAnsi="Arial"/>
          <w:b w:val="false"/>
          <w:bCs w:val="false"/>
          <w:sz w:val="22"/>
          <w:szCs w:val="22"/>
        </w:rPr>
        <w:t xml:space="preserve">BIBB — Rahmenpläne der Fachkommission nach §53 PflBG</w:t>
      </w:r>
    </w:p>
    <w:p>
      <w:pPr>
        <w:pStyle w:val="ListParagraph"/>
        <w:numPr>
          <w:ilvl w:val="0"/>
          <w:numId w:val="2"/>
        </w:numPr>
        <w:spacing w:after="60"/>
      </w:pPr>
      <w:r>
        <w:rPr>
          <w:rFonts w:ascii="Arial" w:cs="Arial" w:eastAsia="Arial" w:hAnsi="Arial"/>
          <w:b w:val="false"/>
          <w:bCs w:val="false"/>
          <w:sz w:val="22"/>
          <w:szCs w:val="22"/>
        </w:rPr>
        <w:t xml:space="preserve">BIBB — Musterentwurf zum Ausbildungsnachweis</w:t>
      </w:r>
    </w:p>
    <w:p>
      <w:pPr>
        <w:pStyle w:val="ListParagraph"/>
        <w:numPr>
          <w:ilvl w:val="0"/>
          <w:numId w:val="2"/>
        </w:numPr>
        <w:spacing w:after="60"/>
      </w:pPr>
      <w:r>
        <w:rPr>
          <w:rFonts w:ascii="Arial" w:cs="Arial" w:eastAsia="Arial" w:hAnsi="Arial"/>
          <w:b w:val="false"/>
          <w:bCs w:val="false"/>
          <w:sz w:val="22"/>
          <w:szCs w:val="22"/>
        </w:rPr>
        <w:t xml:space="preserve">BIBB — ILEPA (Instrumente zur Leistungseinschätzung in der praktischen Pflegeausbildung)</w:t>
      </w:r>
    </w:p>
    <w:p>
      <w:pPr>
        <w:pStyle w:val="ListParagraph"/>
        <w:numPr>
          <w:ilvl w:val="0"/>
          <w:numId w:val="2"/>
        </w:numPr>
        <w:spacing w:after="60"/>
      </w:pPr>
      <w:r>
        <w:rPr>
          <w:rFonts w:ascii="Arial" w:cs="Arial" w:eastAsia="Arial" w:hAnsi="Arial"/>
          <w:b w:val="false"/>
          <w:bCs w:val="false"/>
          <w:sz w:val="22"/>
          <w:szCs w:val="22"/>
        </w:rPr>
        <w:t xml:space="preserve">DKG — Deutsche Krankenhausgesellschaft nursing education guidelines</w:t>
      </w:r>
    </w:p>
    <w:p>
      <w:pPr>
        <w:pStyle w:val="ListParagraph"/>
        <w:numPr>
          <w:ilvl w:val="0"/>
          <w:numId w:val="2"/>
        </w:numPr>
        <w:spacing w:after="60"/>
      </w:pPr>
      <w:r>
        <w:rPr>
          <w:rFonts w:ascii="Arial" w:cs="Arial" w:eastAsia="Arial" w:hAnsi="Arial"/>
          <w:b w:val="false"/>
          <w:bCs w:val="false"/>
          <w:sz w:val="22"/>
          <w:szCs w:val="22"/>
        </w:rPr>
        <w:t xml:space="preserve">Ludwig Fresenius Schulen — Pflichtfortbildung Praxisanleiter (24-hour CPD requirement)</w:t>
      </w:r>
    </w:p>
    <w:p>
      <w:pPr>
        <w:pStyle w:val="ListParagraph"/>
        <w:numPr>
          <w:ilvl w:val="0"/>
          <w:numId w:val="2"/>
        </w:numPr>
        <w:spacing w:after="60"/>
      </w:pPr>
      <w:r>
        <w:rPr>
          <w:rFonts w:ascii="Arial" w:cs="Arial" w:eastAsia="Arial" w:hAnsi="Arial"/>
          <w:b w:val="false"/>
          <w:bCs w:val="false"/>
          <w:sz w:val="22"/>
          <w:szCs w:val="22"/>
        </w:rPr>
        <w:t xml:space="preserve">Praxisanleitung24.de — Kompetenzbereich explanations</w:t>
      </w:r>
    </w:p>
    <w:p>
      <w:pPr>
        <w:pStyle w:val="ListParagraph"/>
        <w:numPr>
          <w:ilvl w:val="0"/>
          <w:numId w:val="2"/>
        </w:numPr>
        <w:spacing w:after="60"/>
      </w:pPr>
      <w:r>
        <w:rPr>
          <w:rFonts w:ascii="Arial" w:cs="Arial" w:eastAsia="Arial" w:hAnsi="Arial"/>
          <w:b w:val="false"/>
          <w:bCs w:val="false"/>
          <w:sz w:val="22"/>
          <w:szCs w:val="22"/>
        </w:rPr>
        <w:t xml:space="preserve">PraxisProfi project documentation (scaffold, prompt contract, terminology map, marketing strategy, assessment workflow research, market comparison)</w:t>
      </w:r>
    </w:p>
    <w:p>
      <w:pPr>
        <w:spacing w:after="100"/>
      </w:pPr>
    </w:p>
    <w:p>
      <w:pPr>
        <w:pStyle w:val="Heading2"/>
      </w:pPr>
      <w:r>
        <w:t xml:space="preserve">Comparative / Cross-Market</w:t>
      </w:r>
    </w:p>
    <w:p>
      <w:pPr>
        <w:pStyle w:val="ListParagraph"/>
        <w:numPr>
          <w:ilvl w:val="0"/>
          <w:numId w:val="2"/>
        </w:numPr>
        <w:spacing w:after="60"/>
      </w:pPr>
      <w:r>
        <w:rPr>
          <w:rFonts w:ascii="Arial" w:cs="Arial" w:eastAsia="Arial" w:hAnsi="Arial"/>
          <w:b w:val="false"/>
          <w:bCs w:val="false"/>
          <w:sz w:val="22"/>
          <w:szCs w:val="22"/>
        </w:rPr>
        <w:t xml:space="preserve">Assessment Workflow Research: Germany, Ireland, South Africa vs UK PAD (internal, 2026-02-21)</w:t>
      </w:r>
    </w:p>
    <w:p>
      <w:pPr>
        <w:pStyle w:val="ListParagraph"/>
        <w:numPr>
          <w:ilvl w:val="0"/>
          <w:numId w:val="2"/>
        </w:numPr>
        <w:spacing w:after="60"/>
      </w:pPr>
      <w:r>
        <w:rPr>
          <w:rFonts w:ascii="Arial" w:cs="Arial" w:eastAsia="Arial" w:hAnsi="Arial"/>
          <w:b w:val="false"/>
          <w:bCs w:val="false"/>
          <w:sz w:val="22"/>
          <w:szCs w:val="22"/>
        </w:rPr>
        <w:t xml:space="preserve">Market Comparison: German WritingPAD vs Australian WritingPAD vs Australian PracWriter (internal, 2026-02-20)</w:t>
      </w:r>
    </w:p>
    <w:p>
      <w:pPr>
        <w:pStyle w:val="ListParagraph"/>
        <w:numPr>
          <w:ilvl w:val="0"/>
          <w:numId w:val="2"/>
        </w:numPr>
        <w:spacing w:after="60"/>
      </w:pPr>
      <w:r>
        <w:rPr>
          <w:rFonts w:ascii="Arial" w:cs="Arial" w:eastAsia="Arial" w:hAnsi="Arial"/>
          <w:b w:val="false"/>
          <w:bCs w:val="false"/>
          <w:sz w:val="22"/>
          <w:szCs w:val="22"/>
        </w:rPr>
        <w:t xml:space="preserve">ProPrecept NCAD Training Opportunity Analysis (internal, 2026-02-23)</w:t>
      </w:r>
    </w:p>
    <w:p>
      <w:pPr>
        <w:pStyle w:val="ListParagraph"/>
        <w:numPr>
          <w:ilvl w:val="0"/>
          <w:numId w:val="2"/>
        </w:numPr>
        <w:spacing w:after="60"/>
      </w:pPr>
      <w:r>
        <w:rPr>
          <w:rFonts w:ascii="Arial" w:cs="Arial" w:eastAsia="Arial" w:hAnsi="Arial"/>
          <w:b w:val="false"/>
          <w:bCs w:val="false"/>
          <w:sz w:val="22"/>
          <w:szCs w:val="22"/>
        </w:rPr>
        <w:t xml:space="preserve">CEDEFOP — Nursing Apprenticeship in Germany (European VET policy comparison)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7B" w:sz="1" w:space="4"/>
      </w:pBdr>
      <w:tabs>
        <w:tab w:val="right" w:pos="9026"/>
      </w:tabs>
    </w:pPr>
    <w:r>
      <w:rPr>
        <w:rFonts w:ascii="Arial" w:cs="Arial" w:eastAsia="Arial" w:hAnsi="Arial"/>
        <w:color w:val="999999"/>
        <w:sz w:val="18"/>
        <w:szCs w:val="18"/>
      </w:rPr>
      <w:t xml:space="preserve">Ireland ↔ Germany: Parallel Reform Analysis</w:t>
    </w:r>
    <w:r>
      <w:rPr>
        <w:rFonts w:ascii="Arial" w:cs="Arial" w:eastAsia="Arial" w:hAnsi="Arial"/>
        <w:color w:val="999999"/>
        <w:sz w:val="18"/>
        <w:szCs w:val="18"/>
      </w:rPr>
      <w:t xml:space="preserve">	PraxisProfi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7B"/>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B5E7B"/>
      <w:sz w:val="26"/>
      <w:szCs w:val="26"/>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2026-02-23T12:12:06.763Z</dcterms:created>
  <dcterms:modified xsi:type="dcterms:W3CDTF">2026-02-23T12:12:06.773Z</dcterms:modified>
</cp:coreProperties>
</file>

<file path=docProps/custom.xml><?xml version="1.0" encoding="utf-8"?>
<Properties xmlns="http://schemas.openxmlformats.org/officeDocument/2006/custom-properties" xmlns:vt="http://schemas.openxmlformats.org/officeDocument/2006/docPropsVTypes"/>
</file>