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 xml:space="preserve">프리셉터 서포트</w:t>
      </w:r>
    </w:p>
    <w:p>
      <w:pPr>
        <w:spacing w:after="300"/>
        <w:jc w:val="center"/>
      </w:pPr>
      <w:r>
        <w:t xml:space="preserve">Preceptor Support</w:t>
      </w:r>
    </w:p>
    <w:p>
      <w:pPr>
        <w:spacing w:after="600"/>
        <w:jc w:val="center"/>
      </w:pPr>
      <w:r>
        <w:t xml:space="preserve">MVP Technical Blueprint &amp; Demo Spec</w:t>
      </w:r>
    </w:p>
    <w:p>
      <w:pPr>
        <w:spacing w:after="400"/>
      </w:pPr>
    </w:p>
    <w:p>
      <w:pPr>
        <w:spacing w:after="80"/>
        <w:jc w:val="center"/>
      </w:pPr>
      <w:r>
        <w:t xml:space="preserve">Document Status: WORKING DRAFT</w:t>
      </w:r>
    </w:p>
    <w:p>
      <w:pPr>
        <w:spacing w:after="600"/>
        <w:jc w:val="center"/>
      </w:pPr>
      <w:r>
        <w:t xml:space="preserve">Confidential — Workflow Tools</w:t>
      </w:r>
    </w:p>
    <w:p>
      <w:pPr>
        <w:spacing w:after="200"/>
      </w:pPr>
    </w:p>
    <w:p>
      <w:pPr>
        <w:spacing w:after="100"/>
      </w:pPr>
      <w:r>
        <w:t xml:space="preserve">Table of Contents</w:t>
      </w:r>
    </w:p>
    <w:p>
      <w:pPr>
        <w:pStyle w:val="ListParagraph"/>
        <w:numPr>
          <w:ilvl w:val="0"/>
          <w:numId w:val="1"/>
        </w:numPr>
        <w:spacing w:after="80"/>
      </w:pPr>
      <w:r>
        <w:t xml:space="preserve">Executive Summary</w:t>
      </w:r>
    </w:p>
    <w:p>
      <w:pPr>
        <w:pStyle w:val="ListParagraph"/>
        <w:numPr>
          <w:ilvl w:val="0"/>
          <w:numId w:val="1"/>
        </w:numPr>
        <w:spacing w:after="80"/>
      </w:pPr>
      <w:r>
        <w:t xml:space="preserve">The User Experience (Demo Script)</w:t>
      </w:r>
    </w:p>
    <w:p>
      <w:pPr>
        <w:pStyle w:val="ListParagraph"/>
        <w:numPr>
          <w:ilvl w:val="0"/>
          <w:numId w:val="1"/>
        </w:numPr>
        <w:spacing w:after="80"/>
      </w:pPr>
      <w:r>
        <w:t xml:space="preserve">System Architecture</w:t>
      </w:r>
    </w:p>
    <w:p>
      <w:pPr>
        <w:pStyle w:val="ListParagraph"/>
        <w:numPr>
          <w:ilvl w:val="0"/>
          <w:numId w:val="1"/>
        </w:numPr>
        <w:spacing w:after="80"/>
      </w:pPr>
      <w:r>
        <w:t xml:space="preserve">Component Inventory</w:t>
      </w:r>
    </w:p>
    <w:p>
      <w:pPr>
        <w:pStyle w:val="ListParagraph"/>
        <w:numPr>
          <w:ilvl w:val="0"/>
          <w:numId w:val="1"/>
        </w:numPr>
        <w:spacing w:after="80"/>
      </w:pPr>
      <w:r>
        <w:t xml:space="preserve">Build Sequence (16–22 Hours)</w:t>
      </w:r>
    </w:p>
    <w:p>
      <w:pPr>
        <w:pStyle w:val="ListParagraph"/>
        <w:numPr>
          <w:ilvl w:val="0"/>
          <w:numId w:val="1"/>
        </w:numPr>
        <w:spacing w:after="80"/>
      </w:pPr>
      <w:r>
        <w:t xml:space="preserve">.kr Domain Registration Guide</w:t>
      </w:r>
    </w:p>
    <w:p>
      <w:pPr>
        <w:pStyle w:val="ListParagraph"/>
        <w:numPr>
          <w:ilvl w:val="0"/>
          <w:numId w:val="1"/>
        </w:numPr>
        <w:spacing w:after="80"/>
      </w:pPr>
      <w:r>
        <w:t xml:space="preserve">Voice Recognition — Web Speech API vs. Deepgram</w:t>
      </w:r>
    </w:p>
    <w:p>
      <w:pPr>
        <w:pStyle w:val="ListParagraph"/>
        <w:numPr>
          <w:ilvl w:val="0"/>
          <w:numId w:val="1"/>
        </w:numPr>
        <w:spacing w:after="80"/>
      </w:pPr>
      <w:r>
        <w:t xml:space="preserve">Target Pilot Universities</w:t>
      </w:r>
    </w:p>
    <w:p>
      <w:pPr>
        <w:pStyle w:val="ListParagraph"/>
        <w:numPr>
          <w:ilvl w:val="0"/>
          <w:numId w:val="1"/>
        </w:numPr>
        <w:spacing w:after="80"/>
      </w:pPr>
      <w:r>
        <w:t xml:space="preserve">Reseller/Agent Demo Checklist</w:t>
      </w:r>
    </w:p>
    <w:p>
      <w:pPr>
        <w:pStyle w:val="ListParagraph"/>
        <w:numPr>
          <w:ilvl w:val="0"/>
          <w:numId w:val="1"/>
        </w:numPr>
        <w:spacing w:after="80"/>
      </w:pPr>
      <w:r>
        <w:t xml:space="preserve">Pricing Model for Institutional Sales</w:t>
      </w:r>
    </w:p>
    <w:p>
      <w:pPr>
        <w:pStyle w:val="Heading1"/>
        <w:pStyle w:val="Heading1"/>
        <w:spacing w:before="400" w:after="100"/>
      </w:pPr>
      <w:r>
        <w:t xml:space="preserve">Executive Summary</w:t>
      </w:r>
    </w:p>
    <w:p>
      <w:pPr>
        <w:spacing w:after="100"/>
      </w:pPr>
      <w:r>
        <w:t xml:space="preserve">This document specifies the complete MVP for Preceptor Support (프리셉터 서포트), a B2B SaaS tool that transforms messy preceptor mentoring notes into structured, professional, competency-aligned feedback for new nurses in South Korean hospitals.</w:t>
      </w:r>
    </w:p>
    <w:p>
      <w:pPr>
        <w:spacing w:after="100"/>
      </w:pPr>
      <w:r>
        <w:t xml:space="preserve">The tool serves as both the technical build plan and the demo specification for reseller/agent partners. Target: deployable MVP in 16–22 hours of focused development from the current prototype.</w:t>
      </w:r>
    </w:p>
    <w:p>
      <w:pPr>
        <w:spacing w:after="100"/>
      </w:pPr>
      <w:r>
        <w:t xml:space="preserve">Key objectives: eliminate manual feedback composition, ensure consistency across orientation weeks, maintain hospital privacy through per-institution data isolation, and deliver immediate ROI through measurable turnover reduction (5–10% = 300–540M KRW saved annually in tertiary hospitals).</w:t>
      </w:r>
    </w:p>
    <w:p>
      <w:pPr>
        <w:pageBreakBefore/>
      </w:pPr>
    </w:p>
    <w:p>
      <w:pPr>
        <w:pStyle w:val="Heading1"/>
        <w:pStyle w:val="Heading1"/>
        <w:spacing w:before="400" w:after="100"/>
      </w:pPr>
      <w:r>
        <w:t xml:space="preserve">The User Experience (Demo Script)</w:t>
      </w:r>
    </w:p>
    <w:p>
      <w:pPr>
        <w:spacing w:after="100"/>
      </w:pPr>
      <w:r>
        <w:t xml:space="preserve">Below is the complete user journey that a reseller would demo to a hospital CNO (Chief Nursing Officer).</w:t>
      </w:r>
    </w:p>
    <w:p>
      <w:pPr>
        <w:pStyle w:val="Heading2"/>
        <w:pStyle w:val="Heading2"/>
        <w:spacing w:before="200" w:after="100"/>
      </w:pPr>
      <w:r>
        <w:t xml:space="preserve">Step 1 — Login</w:t>
      </w:r>
    </w:p>
    <w:p>
      <w:pPr>
        <w:spacing w:after="100"/>
      </w:pPr>
      <w:r>
        <w:t xml:space="preserve">Preceptor opens preceptorsupport.kr on their phone, logs in with Kakao or email. The interface is mobile-first, loading instantly. On first login, they see an onboarding tooltip.</w:t>
      </w:r>
    </w:p>
    <w:tbl>
      <w:tblPr>
        <w:tblW w:type="dxa" w:w="9000"/>
        <w:tblBorders>
          <w:top w:val="none" w:sz="0"/>
          <w:left w:val="none" w:sz="0"/>
          <w:bottom w:val="none" w:sz="0"/>
          <w:right w:val="none" w:sz="0"/>
          <w:insideH w:val="none" w:sz="0"/>
          <w:insideV w:val="none" w:sz="0"/>
        </w:tblBorders>
      </w:tblPr>
      <w:tblGrid>
        <w:gridCol w:w="100"/>
        <w:gridCol w:w="100"/>
      </w:tblGrid>
      <w:tr>
        <w:tc>
          <w:tcPr>
            <w:tcW w:type="dxa" w:w="100"/>
            <w:tcBorders>
              <w:top w:val="none" w:sz="0"/>
              <w:left w:val="single" w:color="1F3A5F" w:sz="24"/>
              <w:bottom w:val="none" w:sz="0"/>
              <w:right w:val="none" w:sz="0"/>
            </w:tcBorders>
            <w:shd w:fill="F2F2F2" w:val="clear"/>
            <w:tcMar>
              <w:top w:type="dxa" w:w="0"/>
              <w:left w:type="dxa" w:w="0"/>
              <w:bottom w:type="dxa" w:w="0"/>
              <w:right w:type="dxa" w:w="0"/>
            </w:tcMar>
          </w:tcPr>
          <w:p/>
        </w:tc>
        <w:tc>
          <w:tcPr>
            <w:tcW w:type="dxa" w:w="8900"/>
            <w:tcBorders>
              <w:top w:val="none" w:sz="0"/>
              <w:left w:val="none" w:sz="0"/>
              <w:bottom w:val="none" w:sz="0"/>
              <w:right w:val="none" w:sz="0"/>
            </w:tcBorders>
            <w:shd w:fill="F2F2F2" w:val="clear"/>
            <w:tcMar>
              <w:top w:type="dxa" w:w="100"/>
              <w:left w:type="dxa" w:w="120"/>
              <w:bottom w:type="dxa" w:w="100"/>
              <w:right w:type="dxa" w:w="120"/>
            </w:tcMar>
          </w:tcPr>
          <w:p>
            <w:r>
              <w:t xml:space="preserve">Component: Supabase Auth with Kakao OAuth provider; Next.js 14 frontend with mobile-optimized Tailwind CSS.</w:t>
            </w:r>
          </w:p>
        </w:tc>
      </w:tr>
    </w:tbl>
    <w:p>
      <w:pPr>
        <w:pStyle w:val="Heading2"/>
        <w:pStyle w:val="Heading2"/>
        <w:spacing w:before="200" w:after="100"/>
      </w:pPr>
      <w:r>
        <w:t xml:space="preserve">Step 2 — Select Student</w:t>
      </w:r>
    </w:p>
    <w:p>
      <w:pPr>
        <w:spacing w:after="100"/>
      </w:pPr>
      <w:r>
        <w:t xml:space="preserve">Dashboard shows their assigned new nurses with orientation week, department, and recommendation status badges. Preceptor taps a student name to open the feedback form.</w:t>
      </w:r>
    </w:p>
    <w:tbl>
      <w:tblPr>
        <w:tblW w:type="dxa" w:w="9000"/>
        <w:tblBorders>
          <w:top w:val="none" w:sz="0"/>
          <w:left w:val="none" w:sz="0"/>
          <w:bottom w:val="none" w:sz="0"/>
          <w:right w:val="none" w:sz="0"/>
          <w:insideH w:val="none" w:sz="0"/>
          <w:insideV w:val="none" w:sz="0"/>
        </w:tblBorders>
      </w:tblPr>
      <w:tblGrid>
        <w:gridCol w:w="100"/>
        <w:gridCol w:w="100"/>
      </w:tblGrid>
      <w:tr>
        <w:tc>
          <w:tcPr>
            <w:tcW w:type="dxa" w:w="100"/>
            <w:tcBorders>
              <w:top w:val="none" w:sz="0"/>
              <w:left w:val="single" w:color="1F3A5F" w:sz="24"/>
              <w:bottom w:val="none" w:sz="0"/>
              <w:right w:val="none" w:sz="0"/>
            </w:tcBorders>
            <w:shd w:fill="F2F2F2" w:val="clear"/>
            <w:tcMar>
              <w:top w:type="dxa" w:w="0"/>
              <w:left w:type="dxa" w:w="0"/>
              <w:bottom w:type="dxa" w:w="0"/>
              <w:right w:type="dxa" w:w="0"/>
            </w:tcMar>
          </w:tcPr>
          <w:p/>
        </w:tc>
        <w:tc>
          <w:tcPr>
            <w:tcW w:type="dxa" w:w="8900"/>
            <w:tcBorders>
              <w:top w:val="none" w:sz="0"/>
              <w:left w:val="none" w:sz="0"/>
              <w:bottom w:val="none" w:sz="0"/>
              <w:right w:val="none" w:sz="0"/>
            </w:tcBorders>
            <w:shd w:fill="F2F2F2" w:val="clear"/>
            <w:tcMar>
              <w:top w:type="dxa" w:w="100"/>
              <w:left w:type="dxa" w:w="120"/>
              <w:bottom w:type="dxa" w:w="100"/>
              <w:right w:type="dxa" w:w="120"/>
            </w:tcMar>
          </w:tcPr>
          <w:p>
            <w:r>
              <w:t xml:space="preserve">Component: Supabase PostgreSQL with real-time subscriptions; Next.js React frontend; badge logic from feedback_records table.</w:t>
            </w:r>
          </w:p>
        </w:tc>
      </w:tr>
    </w:tbl>
    <w:p>
      <w:pPr>
        <w:pStyle w:val="Heading2"/>
        <w:pStyle w:val="Heading2"/>
        <w:spacing w:before="200" w:after="100"/>
      </w:pPr>
      <w:r>
        <w:t xml:space="preserve">Step 3 — Guided Voice Input</w:t>
      </w:r>
    </w:p>
    <w:p>
      <w:pPr>
        <w:spacing w:after="100"/>
      </w:pPr>
      <w:r>
        <w:t xml:space="preserve">Seven domain cards appear. Preceptor taps Domain 2 (Nursing Skills), hits the microphone button, and speaks in Korean for ~30 seconds about clinical performance. Voice text appears in real-time. After 4 of 7 domains, they skip the rest. The form auto-saves.</w:t>
      </w:r>
    </w:p>
    <w:tbl>
      <w:tblPr>
        <w:tblW w:type="dxa" w:w="9000"/>
        <w:tblBorders>
          <w:top w:val="none" w:sz="0"/>
          <w:left w:val="none" w:sz="0"/>
          <w:bottom w:val="none" w:sz="0"/>
          <w:right w:val="none" w:sz="0"/>
          <w:insideH w:val="none" w:sz="0"/>
          <w:insideV w:val="none" w:sz="0"/>
        </w:tblBorders>
      </w:tblPr>
      <w:tblGrid>
        <w:gridCol w:w="100"/>
        <w:gridCol w:w="100"/>
      </w:tblGrid>
      <w:tr>
        <w:tc>
          <w:tcPr>
            <w:tcW w:type="dxa" w:w="100"/>
            <w:tcBorders>
              <w:top w:val="none" w:sz="0"/>
              <w:left w:val="single" w:color="1F3A5F" w:sz="24"/>
              <w:bottom w:val="none" w:sz="0"/>
              <w:right w:val="none" w:sz="0"/>
            </w:tcBorders>
            <w:shd w:fill="F2F2F2" w:val="clear"/>
            <w:tcMar>
              <w:top w:type="dxa" w:w="0"/>
              <w:left w:type="dxa" w:w="0"/>
              <w:bottom w:type="dxa" w:w="0"/>
              <w:right w:type="dxa" w:w="0"/>
            </w:tcMar>
          </w:tcPr>
          <w:p/>
        </w:tc>
        <w:tc>
          <w:tcPr>
            <w:tcW w:type="dxa" w:w="8900"/>
            <w:tcBorders>
              <w:top w:val="none" w:sz="0"/>
              <w:left w:val="none" w:sz="0"/>
              <w:bottom w:val="none" w:sz="0"/>
              <w:right w:val="none" w:sz="0"/>
            </w:tcBorders>
            <w:shd w:fill="F2F2F2" w:val="clear"/>
            <w:tcMar>
              <w:top w:type="dxa" w:w="100"/>
              <w:left w:type="dxa" w:w="120"/>
              <w:bottom w:type="dxa" w:w="100"/>
              <w:right w:type="dxa" w:w="120"/>
            </w:tcMar>
          </w:tcPr>
          <w:p>
            <w:r>
              <w:t xml:space="preserve">Component: Web Speech API (ko-KR) for MVP; Deepgram Nova-3 Medical as production upgrade. Client-side processing; no cloud cost until transform.</w:t>
            </w:r>
          </w:p>
        </w:tc>
      </w:tr>
    </w:tbl>
    <w:p>
      <w:pPr>
        <w:pStyle w:val="Heading2"/>
        <w:pStyle w:val="Heading2"/>
        <w:spacing w:before="200" w:after="100"/>
      </w:pPr>
      <w:r>
        <w:t xml:space="preserve">Step 4 — Transform</w:t>
      </w:r>
    </w:p>
    <w:p>
      <w:pPr>
        <w:spacing w:after="100"/>
      </w:pPr>
      <w:r>
        <w:t xml:space="preserve">Preceptor taps a button to generate feedback. The system sends each filled domain to its own specialized prompt contract (7 parallel Claude Sonnet API calls + 1 synthesis call). A progress spinner shows transformation for ~8–12 seconds.</w:t>
      </w:r>
    </w:p>
    <w:tbl>
      <w:tblPr>
        <w:tblW w:type="dxa" w:w="9000"/>
        <w:tblBorders>
          <w:top w:val="none" w:sz="0"/>
          <w:left w:val="none" w:sz="0"/>
          <w:bottom w:val="none" w:sz="0"/>
          <w:right w:val="none" w:sz="0"/>
          <w:insideH w:val="none" w:sz="0"/>
          <w:insideV w:val="none" w:sz="0"/>
        </w:tblBorders>
      </w:tblPr>
      <w:tblGrid>
        <w:gridCol w:w="100"/>
        <w:gridCol w:w="100"/>
      </w:tblGrid>
      <w:tr>
        <w:tc>
          <w:tcPr>
            <w:tcW w:type="dxa" w:w="100"/>
            <w:tcBorders>
              <w:top w:val="none" w:sz="0"/>
              <w:left w:val="single" w:color="1F3A5F" w:sz="24"/>
              <w:bottom w:val="none" w:sz="0"/>
              <w:right w:val="none" w:sz="0"/>
            </w:tcBorders>
            <w:shd w:fill="F2F2F2" w:val="clear"/>
            <w:tcMar>
              <w:top w:type="dxa" w:w="0"/>
              <w:left w:type="dxa" w:w="0"/>
              <w:bottom w:type="dxa" w:w="0"/>
              <w:right w:type="dxa" w:w="0"/>
            </w:tcMar>
          </w:tcPr>
          <w:p/>
        </w:tc>
        <w:tc>
          <w:tcPr>
            <w:tcW w:type="dxa" w:w="8900"/>
            <w:tcBorders>
              <w:top w:val="none" w:sz="0"/>
              <w:left w:val="none" w:sz="0"/>
              <w:bottom w:val="none" w:sz="0"/>
              <w:right w:val="none" w:sz="0"/>
            </w:tcBorders>
            <w:shd w:fill="F2F2F2" w:val="clear"/>
            <w:tcMar>
              <w:top w:type="dxa" w:w="100"/>
              <w:left w:type="dxa" w:w="120"/>
              <w:bottom w:type="dxa" w:w="100"/>
              <w:right w:type="dxa" w:w="120"/>
            </w:tcMar>
          </w:tcPr>
          <w:p>
            <w:r>
              <w:t xml:space="preserve">Component: Anthropic Claude Sonnet API, per-domain prompt contracts, Next.js API route /api/transform-guided; SWR for async state.</w:t>
            </w:r>
          </w:p>
        </w:tc>
      </w:tr>
    </w:tbl>
    <w:p>
      <w:pPr>
        <w:pStyle w:val="Heading2"/>
        <w:pStyle w:val="Heading2"/>
        <w:spacing w:before="200" w:after="100"/>
      </w:pPr>
      <w:r>
        <w:t xml:space="preserve">Step 5 — Review</w:t>
      </w:r>
    </w:p>
    <w:p>
      <w:pPr>
        <w:spacing w:after="100"/>
      </w:pPr>
      <w:r>
        <w:t xml:space="preserve">Professional Korean feedback appears organized by domain with color-coded sections (green = demonstrated, amber = development areas, blue = action plan). Preceptor reviews; no editing needed.</w:t>
      </w:r>
    </w:p>
    <w:tbl>
      <w:tblPr>
        <w:tblW w:type="dxa" w:w="9000"/>
        <w:tblBorders>
          <w:top w:val="none" w:sz="0"/>
          <w:left w:val="none" w:sz="0"/>
          <w:bottom w:val="none" w:sz="0"/>
          <w:right w:val="none" w:sz="0"/>
          <w:insideH w:val="none" w:sz="0"/>
          <w:insideV w:val="none" w:sz="0"/>
        </w:tblBorders>
      </w:tblPr>
      <w:tblGrid>
        <w:gridCol w:w="100"/>
        <w:gridCol w:w="100"/>
      </w:tblGrid>
      <w:tr>
        <w:tc>
          <w:tcPr>
            <w:tcW w:type="dxa" w:w="100"/>
            <w:tcBorders>
              <w:top w:val="none" w:sz="0"/>
              <w:left w:val="single" w:color="1F3A5F" w:sz="24"/>
              <w:bottom w:val="none" w:sz="0"/>
              <w:right w:val="none" w:sz="0"/>
            </w:tcBorders>
            <w:shd w:fill="F2F2F2" w:val="clear"/>
            <w:tcMar>
              <w:top w:type="dxa" w:w="0"/>
              <w:left w:type="dxa" w:w="0"/>
              <w:bottom w:type="dxa" w:w="0"/>
              <w:right w:type="dxa" w:w="0"/>
            </w:tcMar>
          </w:tcPr>
          <w:p/>
        </w:tc>
        <w:tc>
          <w:tcPr>
            <w:tcW w:type="dxa" w:w="8900"/>
            <w:tcBorders>
              <w:top w:val="none" w:sz="0"/>
              <w:left w:val="none" w:sz="0"/>
              <w:bottom w:val="none" w:sz="0"/>
              <w:right w:val="none" w:sz="0"/>
            </w:tcBorders>
            <w:shd w:fill="F2F2F2" w:val="clear"/>
            <w:tcMar>
              <w:top w:type="dxa" w:w="100"/>
              <w:left w:type="dxa" w:w="120"/>
              <w:bottom w:type="dxa" w:w="100"/>
              <w:right w:type="dxa" w:w="120"/>
            </w:tcMar>
          </w:tcPr>
          <w:p>
            <w:r>
              <w:t xml:space="preserve">Component: React frontend with TransformOutput type rendering; color-coded section dividers.</w:t>
            </w:r>
          </w:p>
        </w:tc>
      </w:tr>
    </w:tbl>
    <w:p>
      <w:pPr>
        <w:pStyle w:val="Heading2"/>
        <w:pStyle w:val="Heading2"/>
        <w:spacing w:before="200" w:after="100"/>
      </w:pPr>
      <w:r>
        <w:t xml:space="preserve">Step 6 — Finalise &amp; Send</w:t>
      </w:r>
    </w:p>
    <w:p>
      <w:pPr>
        <w:spacing w:after="100"/>
      </w:pPr>
      <w:r>
        <w:t xml:space="preserve">Preceptor taps confirm. A modal shows recipients: student, nursing director, clinical educator. PDF is generated via Puppeteer with full Korean typography, emailed via Resend. Confirmation appears.</w:t>
      </w:r>
    </w:p>
    <w:tbl>
      <w:tblPr>
        <w:tblW w:type="dxa" w:w="9000"/>
        <w:tblBorders>
          <w:top w:val="none" w:sz="0"/>
          <w:left w:val="none" w:sz="0"/>
          <w:bottom w:val="none" w:sz="0"/>
          <w:right w:val="none" w:sz="0"/>
          <w:insideH w:val="none" w:sz="0"/>
          <w:insideV w:val="none" w:sz="0"/>
        </w:tblBorders>
      </w:tblPr>
      <w:tblGrid>
        <w:gridCol w:w="100"/>
        <w:gridCol w:w="100"/>
      </w:tblGrid>
      <w:tr>
        <w:tc>
          <w:tcPr>
            <w:tcW w:type="dxa" w:w="100"/>
            <w:tcBorders>
              <w:top w:val="none" w:sz="0"/>
              <w:left w:val="single" w:color="1F3A5F" w:sz="24"/>
              <w:bottom w:val="none" w:sz="0"/>
              <w:right w:val="none" w:sz="0"/>
            </w:tcBorders>
            <w:shd w:fill="F2F2F2" w:val="clear"/>
            <w:tcMar>
              <w:top w:type="dxa" w:w="0"/>
              <w:left w:type="dxa" w:w="0"/>
              <w:bottom w:type="dxa" w:w="0"/>
              <w:right w:type="dxa" w:w="0"/>
            </w:tcMar>
          </w:tcPr>
          <w:p/>
        </w:tc>
        <w:tc>
          <w:tcPr>
            <w:tcW w:type="dxa" w:w="8900"/>
            <w:tcBorders>
              <w:top w:val="none" w:sz="0"/>
              <w:left w:val="none" w:sz="0"/>
              <w:bottom w:val="none" w:sz="0"/>
              <w:right w:val="none" w:sz="0"/>
            </w:tcBorders>
            <w:shd w:fill="F2F2F2" w:val="clear"/>
            <w:tcMar>
              <w:top w:type="dxa" w:w="100"/>
              <w:left w:type="dxa" w:w="120"/>
              <w:bottom w:type="dxa" w:w="100"/>
              <w:right w:type="dxa" w:w="120"/>
            </w:tcMar>
          </w:tcPr>
          <w:p>
            <w:r>
              <w:t xml:space="preserve">Component: Puppeteer + @sparticuz/chromium for serverless PDF generation with Noto Sans KR; Resend for email delivery.</w:t>
            </w:r>
          </w:p>
        </w:tc>
      </w:tr>
    </w:tbl>
    <w:p>
      <w:pPr>
        <w:pStyle w:val="Heading2"/>
        <w:pStyle w:val="Heading2"/>
        <w:spacing w:before="200" w:after="100"/>
      </w:pPr>
      <w:r>
        <w:t xml:space="preserve">Step 7 — History</w:t>
      </w:r>
    </w:p>
    <w:p>
      <w:pPr>
        <w:spacing w:after="100"/>
      </w:pPr>
      <w:r>
        <w:t xml:space="preserve">Record saved and visible in History tab. Next week, preceptor returns, sees previous feedback, auto-advances to the next week. Over 8 weeks, a complete competency narrative accumulates.</w:t>
      </w:r>
    </w:p>
    <w:tbl>
      <w:tblPr>
        <w:tblW w:type="dxa" w:w="9000"/>
        <w:tblBorders>
          <w:top w:val="none" w:sz="0"/>
          <w:left w:val="none" w:sz="0"/>
          <w:bottom w:val="none" w:sz="0"/>
          <w:right w:val="none" w:sz="0"/>
          <w:insideH w:val="none" w:sz="0"/>
          <w:insideV w:val="none" w:sz="0"/>
        </w:tblBorders>
      </w:tblPr>
      <w:tblGrid>
        <w:gridCol w:w="100"/>
        <w:gridCol w:w="100"/>
      </w:tblGrid>
      <w:tr>
        <w:tc>
          <w:tcPr>
            <w:tcW w:type="dxa" w:w="100"/>
            <w:tcBorders>
              <w:top w:val="none" w:sz="0"/>
              <w:left w:val="single" w:color="1F3A5F" w:sz="24"/>
              <w:bottom w:val="none" w:sz="0"/>
              <w:right w:val="none" w:sz="0"/>
            </w:tcBorders>
            <w:shd w:fill="F2F2F2" w:val="clear"/>
            <w:tcMar>
              <w:top w:type="dxa" w:w="0"/>
              <w:left w:type="dxa" w:w="0"/>
              <w:bottom w:type="dxa" w:w="0"/>
              <w:right w:type="dxa" w:w="0"/>
            </w:tcMar>
          </w:tcPr>
          <w:p/>
        </w:tc>
        <w:tc>
          <w:tcPr>
            <w:tcW w:type="dxa" w:w="8900"/>
            <w:tcBorders>
              <w:top w:val="none" w:sz="0"/>
              <w:left w:val="none" w:sz="0"/>
              <w:bottom w:val="none" w:sz="0"/>
              <w:right w:val="none" w:sz="0"/>
            </w:tcBorders>
            <w:shd w:fill="F2F2F2" w:val="clear"/>
            <w:tcMar>
              <w:top w:type="dxa" w:w="100"/>
              <w:left w:type="dxa" w:w="120"/>
              <w:bottom w:type="dxa" w:w="100"/>
              <w:right w:type="dxa" w:w="120"/>
            </w:tcMar>
          </w:tcPr>
          <w:p>
            <w:r>
              <w:t xml:space="preserve">Component: Supabase PostgreSQL persistence with RLS per hospital; React component for timeline view.</w:t>
            </w:r>
          </w:p>
        </w:tc>
      </w:tr>
    </w:tbl>
    <w:p>
      <w:pPr>
        <w:pageBreakBefore/>
      </w:pPr>
    </w:p>
    <w:p>
      <w:pPr>
        <w:pStyle w:val="Heading1"/>
        <w:pStyle w:val="Heading1"/>
        <w:spacing w:before="400" w:after="100"/>
      </w:pPr>
      <w:r>
        <w:t xml:space="preserve">System Architecture</w:t>
      </w:r>
    </w:p>
    <w:p>
      <w:pPr>
        <w:spacing w:after="100"/>
      </w:pPr>
      <w:r>
        <w:t xml:space="preserve">SYSTEM ARCHITECTURE
┌──────────────────┐
│   User Phone     │
│  (Preceptor)     │
└────────┬─────────┘
         │
         ├─────── Web Speech API
         │
         └──────────── HTTPS ──────────┐
                                       │
                              ┌────────▼────────┐
                              │  Vercel CDN     │
                              │  (Next.js 14)   │
                              │  • Frontend     │
                              │  • API routes   │
                              └────────┬────────┘
                                       │
                    ┌──────────────────┼──────────┐
                    │                  │          │
             ┌──────▼──────┐  ┌────────▼──────┐ │
             │  Supabase   │  │   Anthropic   │ │
             │  PostgreSQL │  │  Claude API   │ │
             │  • users    │  │  (Sonnet)     │ │
             │  • students │  │  /transform   │ │
             │  • feedback │  └───────────────┘ │
             │  • RLS      │                    │
             └─────────────┘            ┌───────▼──┐
                    │                   │  Resend  │
             ┌──────▼────────┐          │  Email   │
             │  Supabase     │          └──────────┘
             │    Auth       │
             │  Kakao OAuth  │
             │  + Email      │
             └───────────────┘</w:t>
      </w:r>
    </w:p>
    <w:p>
      <w:pPr>
        <w:spacing w:after="100"/>
      </w:pPr>
      <w:r>
        <w:t xml:space="preserve">Key design decisions: Vercel for serverless deployment; Supabase for PostgreSQL + Auth (managed, scales, Korean-friendly); Anthropic Claude Sonnet for per-domain prompts; Web Speech API for MVP (free, sufficient for conversational notes); Puppeteer for PDF (serverless-compatible); Resend for email (transactional, Korean support).</w:t>
      </w:r>
    </w:p>
    <w:p>
      <w:pPr>
        <w:pageBreakBefore/>
      </w:pPr>
    </w:p>
    <w:p>
      <w:pPr>
        <w:pStyle w:val="Heading1"/>
        <w:pStyle w:val="Heading1"/>
        <w:spacing w:before="400" w:after="100"/>
      </w:pPr>
      <w:r>
        <w:t xml:space="preserve">Component Inventory</w:t>
      </w:r>
    </w:p>
    <w:p>
      <w:pPr>
        <w:spacing w:after="100"/>
      </w:pPr>
      <w:r>
        <w:t xml:space="preserve">Complete list of services, libraries, and costs for MVP through scale:</w:t>
      </w:r>
    </w:p>
    <w:tbl>
      <w:tblPr>
        <w:tblW w:type="dxa" w:w="108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gridCol w:w="100"/>
        <w:gridCol w:w="100"/>
      </w:tblGrid>
      <w:tr>
        <w:tc>
          <w:tcPr>
            <w:tcW w:type="dxa" w:w="1800"/>
            <w:shd w:fill="1F3A5F" w:color="FFFFFF" w:val="clear"/>
            <w:tcMar>
              <w:top w:type="dxa" w:w="80"/>
              <w:left w:type="dxa" w:w="120"/>
              <w:bottom w:type="dxa" w:w="80"/>
              <w:right w:type="dxa" w:w="120"/>
            </w:tcMar>
          </w:tcPr>
          <w:p>
            <w:r>
              <w:t xml:space="preserve">Component</w:t>
            </w:r>
          </w:p>
        </w:tc>
        <w:tc>
          <w:tcPr>
            <w:tcW w:type="dxa" w:w="2000"/>
            <w:shd w:fill="1F3A5F" w:color="FFFFFF" w:val="clear"/>
            <w:tcMar>
              <w:top w:type="dxa" w:w="80"/>
              <w:left w:type="dxa" w:w="120"/>
              <w:bottom w:type="dxa" w:w="80"/>
              <w:right w:type="dxa" w:w="120"/>
            </w:tcMar>
          </w:tcPr>
          <w:p>
            <w:r>
              <w:t xml:space="preserve">Service / Library</w:t>
            </w:r>
          </w:p>
        </w:tc>
        <w:tc>
          <w:tcPr>
            <w:tcW w:type="dxa" w:w="2200"/>
            <w:shd w:fill="1F3A5F" w:color="FFFFFF" w:val="clear"/>
            <w:tcMar>
              <w:top w:type="dxa" w:w="80"/>
              <w:left w:type="dxa" w:w="120"/>
              <w:bottom w:type="dxa" w:w="80"/>
              <w:right w:type="dxa" w:w="120"/>
            </w:tcMar>
          </w:tcPr>
          <w:p>
            <w:r>
              <w:t xml:space="preserve">Purpose</w:t>
            </w:r>
          </w:p>
        </w:tc>
        <w:tc>
          <w:tcPr>
            <w:tcW w:type="dxa" w:w="1800"/>
            <w:shd w:fill="1F3A5F" w:color="FFFFFF" w:val="clear"/>
            <w:tcMar>
              <w:top w:type="dxa" w:w="80"/>
              <w:left w:type="dxa" w:w="120"/>
              <w:bottom w:type="dxa" w:w="80"/>
              <w:right w:type="dxa" w:w="120"/>
            </w:tcMar>
          </w:tcPr>
          <w:p>
            <w:r>
              <w:t xml:space="preserve">Cost (MVP)</w:t>
            </w:r>
          </w:p>
        </w:tc>
        <w:tc>
          <w:tcPr>
            <w:tcW w:type="dxa" w:w="1800"/>
            <w:shd w:fill="1F3A5F" w:color="FFFFFF" w:val="clear"/>
            <w:tcMar>
              <w:top w:type="dxa" w:w="80"/>
              <w:left w:type="dxa" w:w="120"/>
              <w:bottom w:type="dxa" w:w="80"/>
              <w:right w:type="dxa" w:w="120"/>
            </w:tcMar>
          </w:tcPr>
          <w:p>
            <w:r>
              <w:t xml:space="preserve">Cost (Scale)</w:t>
            </w:r>
          </w:p>
        </w:tc>
        <w:tc>
          <w:tcPr>
            <w:tcW w:type="dxa" w:w="1200"/>
            <w:shd w:fill="1F3A5F" w:color="FFFFFF" w:val="clear"/>
            <w:tcMar>
              <w:top w:type="dxa" w:w="80"/>
              <w:left w:type="dxa" w:w="120"/>
              <w:bottom w:type="dxa" w:w="80"/>
              <w:right w:type="dxa" w:w="120"/>
            </w:tcMar>
          </w:tcPr>
          <w:p>
            <w:r>
              <w:t xml:space="preserve">Setup Time</w:t>
            </w:r>
          </w:p>
        </w:tc>
      </w:tr>
      <w:tr>
        <w:tc>
          <w:tcPr>
            <w:tcW w:type="dxa" w:w="1800"/>
            <w:shd w:fill="F2F2F2" w:val="clear"/>
            <w:tcMar>
              <w:top w:type="dxa" w:w="80"/>
              <w:left w:type="dxa" w:w="120"/>
              <w:bottom w:type="dxa" w:w="80"/>
              <w:right w:type="dxa" w:w="120"/>
            </w:tcMar>
          </w:tcPr>
          <w:p>
            <w:r>
              <w:t xml:space="preserve">Frontend Framework</w:t>
            </w:r>
          </w:p>
        </w:tc>
        <w:tc>
          <w:tcPr>
            <w:tcW w:type="dxa" w:w="2000"/>
            <w:shd w:fill="F2F2F2" w:val="clear"/>
            <w:tcMar>
              <w:top w:type="dxa" w:w="80"/>
              <w:left w:type="dxa" w:w="120"/>
              <w:bottom w:type="dxa" w:w="80"/>
              <w:right w:type="dxa" w:w="120"/>
            </w:tcMar>
          </w:tcPr>
          <w:p>
            <w:r>
              <w:t xml:space="preserve">Next.js 14</w:t>
            </w:r>
          </w:p>
        </w:tc>
        <w:tc>
          <w:tcPr>
            <w:tcW w:type="dxa" w:w="2200"/>
            <w:shd w:fill="F2F2F2" w:val="clear"/>
            <w:tcMar>
              <w:top w:type="dxa" w:w="80"/>
              <w:left w:type="dxa" w:w="120"/>
              <w:bottom w:type="dxa" w:w="80"/>
              <w:right w:type="dxa" w:w="120"/>
            </w:tcMar>
          </w:tcPr>
          <w:p>
            <w:r>
              <w:t xml:space="preserve">React app + API routes</w:t>
            </w:r>
          </w:p>
        </w:tc>
        <w:tc>
          <w:tcPr>
            <w:tcW w:type="dxa" w:w="1800"/>
            <w:shd w:fill="F2F2F2" w:val="clear"/>
            <w:tcMar>
              <w:top w:type="dxa" w:w="80"/>
              <w:left w:type="dxa" w:w="120"/>
              <w:bottom w:type="dxa" w:w="80"/>
              <w:right w:type="dxa" w:w="120"/>
            </w:tcMar>
          </w:tcPr>
          <w:p>
            <w:r>
              <w:t xml:space="preserve">Free</w:t>
            </w:r>
          </w:p>
        </w:tc>
        <w:tc>
          <w:tcPr>
            <w:tcW w:type="dxa" w:w="1800"/>
            <w:shd w:fill="F2F2F2" w:val="clear"/>
            <w:tcMar>
              <w:top w:type="dxa" w:w="80"/>
              <w:left w:type="dxa" w:w="120"/>
              <w:bottom w:type="dxa" w:w="80"/>
              <w:right w:type="dxa" w:w="120"/>
            </w:tcMar>
          </w:tcPr>
          <w:p>
            <w:r>
              <w:t xml:space="preserve">Free</w:t>
            </w:r>
          </w:p>
        </w:tc>
        <w:tc>
          <w:tcPr>
            <w:tcW w:type="dxa" w:w="1200"/>
            <w:shd w:fill="F2F2F2" w:val="clear"/>
            <w:tcMar>
              <w:top w:type="dxa" w:w="80"/>
              <w:left w:type="dxa" w:w="120"/>
              <w:bottom w:type="dxa" w:w="80"/>
              <w:right w:type="dxa" w:w="120"/>
            </w:tcMar>
          </w:tcPr>
          <w:p>
            <w:r>
              <w:t xml:space="preserve">Already built</w:t>
            </w:r>
          </w:p>
        </w:tc>
      </w:tr>
      <w:tr>
        <w:tc>
          <w:tcPr>
            <w:tcW w:type="dxa" w:w="1800"/>
            <w:shd w:fill="F2F2F2" w:val="clear"/>
            <w:tcMar>
              <w:top w:type="dxa" w:w="80"/>
              <w:left w:type="dxa" w:w="120"/>
              <w:bottom w:type="dxa" w:w="80"/>
              <w:right w:type="dxa" w:w="120"/>
            </w:tcMar>
          </w:tcPr>
          <w:p>
            <w:r>
              <w:t xml:space="preserve">Hosting</w:t>
            </w:r>
          </w:p>
        </w:tc>
        <w:tc>
          <w:tcPr>
            <w:tcW w:type="dxa" w:w="2000"/>
            <w:shd w:fill="F2F2F2" w:val="clear"/>
            <w:tcMar>
              <w:top w:type="dxa" w:w="80"/>
              <w:left w:type="dxa" w:w="120"/>
              <w:bottom w:type="dxa" w:w="80"/>
              <w:right w:type="dxa" w:w="120"/>
            </w:tcMar>
          </w:tcPr>
          <w:p>
            <w:r>
              <w:t xml:space="preserve">Vercel Pro</w:t>
            </w:r>
          </w:p>
        </w:tc>
        <w:tc>
          <w:tcPr>
            <w:tcW w:type="dxa" w:w="2200"/>
            <w:shd w:fill="F2F2F2" w:val="clear"/>
            <w:tcMar>
              <w:top w:type="dxa" w:w="80"/>
              <w:left w:type="dxa" w:w="120"/>
              <w:bottom w:type="dxa" w:w="80"/>
              <w:right w:type="dxa" w:w="120"/>
            </w:tcMar>
          </w:tcPr>
          <w:p>
            <w:r>
              <w:t xml:space="preserve">Serverless deployment</w:t>
            </w:r>
          </w:p>
        </w:tc>
        <w:tc>
          <w:tcPr>
            <w:tcW w:type="dxa" w:w="1800"/>
            <w:shd w:fill="F2F2F2" w:val="clear"/>
            <w:tcMar>
              <w:top w:type="dxa" w:w="80"/>
              <w:left w:type="dxa" w:w="120"/>
              <w:bottom w:type="dxa" w:w="80"/>
              <w:right w:type="dxa" w:w="120"/>
            </w:tcMar>
          </w:tcPr>
          <w:p>
            <w:r>
              <w:t xml:space="preserve">$20/mo</w:t>
            </w:r>
          </w:p>
        </w:tc>
        <w:tc>
          <w:tcPr>
            <w:tcW w:type="dxa" w:w="1800"/>
            <w:shd w:fill="F2F2F2" w:val="clear"/>
            <w:tcMar>
              <w:top w:type="dxa" w:w="80"/>
              <w:left w:type="dxa" w:w="120"/>
              <w:bottom w:type="dxa" w:w="80"/>
              <w:right w:type="dxa" w:w="120"/>
            </w:tcMar>
          </w:tcPr>
          <w:p>
            <w:r>
              <w:t xml:space="preserve">$20/mo</w:t>
            </w:r>
          </w:p>
        </w:tc>
        <w:tc>
          <w:tcPr>
            <w:tcW w:type="dxa" w:w="1200"/>
            <w:shd w:fill="F2F2F2" w:val="clear"/>
            <w:tcMar>
              <w:top w:type="dxa" w:w="80"/>
              <w:left w:type="dxa" w:w="120"/>
              <w:bottom w:type="dxa" w:w="80"/>
              <w:right w:type="dxa" w:w="120"/>
            </w:tcMar>
          </w:tcPr>
          <w:p>
            <w:r>
              <w:t xml:space="preserve">1 hour</w:t>
            </w:r>
          </w:p>
        </w:tc>
      </w:tr>
      <w:tr>
        <w:tc>
          <w:tcPr>
            <w:tcW w:type="dxa" w:w="1800"/>
            <w:shd w:fill="F2F2F2" w:val="clear"/>
            <w:tcMar>
              <w:top w:type="dxa" w:w="80"/>
              <w:left w:type="dxa" w:w="120"/>
              <w:bottom w:type="dxa" w:w="80"/>
              <w:right w:type="dxa" w:w="120"/>
            </w:tcMar>
          </w:tcPr>
          <w:p>
            <w:r>
              <w:t xml:space="preserve">Database</w:t>
            </w:r>
          </w:p>
        </w:tc>
        <w:tc>
          <w:tcPr>
            <w:tcW w:type="dxa" w:w="2000"/>
            <w:shd w:fill="F2F2F2" w:val="clear"/>
            <w:tcMar>
              <w:top w:type="dxa" w:w="80"/>
              <w:left w:type="dxa" w:w="120"/>
              <w:bottom w:type="dxa" w:w="80"/>
              <w:right w:type="dxa" w:w="120"/>
            </w:tcMar>
          </w:tcPr>
          <w:p>
            <w:r>
              <w:t xml:space="preserve">Supabase Free -&gt; Pro</w:t>
            </w:r>
          </w:p>
        </w:tc>
        <w:tc>
          <w:tcPr>
            <w:tcW w:type="dxa" w:w="2200"/>
            <w:shd w:fill="F2F2F2" w:val="clear"/>
            <w:tcMar>
              <w:top w:type="dxa" w:w="80"/>
              <w:left w:type="dxa" w:w="120"/>
              <w:bottom w:type="dxa" w:w="80"/>
              <w:right w:type="dxa" w:w="120"/>
            </w:tcMar>
          </w:tcPr>
          <w:p>
            <w:r>
              <w:t xml:space="preserve">PostgreSQL + Auth + RLS</w:t>
            </w:r>
          </w:p>
        </w:tc>
        <w:tc>
          <w:tcPr>
            <w:tcW w:type="dxa" w:w="1800"/>
            <w:shd w:fill="F2F2F2" w:val="clear"/>
            <w:tcMar>
              <w:top w:type="dxa" w:w="80"/>
              <w:left w:type="dxa" w:w="120"/>
              <w:bottom w:type="dxa" w:w="80"/>
              <w:right w:type="dxa" w:w="120"/>
            </w:tcMar>
          </w:tcPr>
          <w:p>
            <w:r>
              <w:t xml:space="preserve">Free (500MB)</w:t>
            </w:r>
          </w:p>
        </w:tc>
        <w:tc>
          <w:tcPr>
            <w:tcW w:type="dxa" w:w="1800"/>
            <w:shd w:fill="F2F2F2" w:val="clear"/>
            <w:tcMar>
              <w:top w:type="dxa" w:w="80"/>
              <w:left w:type="dxa" w:w="120"/>
              <w:bottom w:type="dxa" w:w="80"/>
              <w:right w:type="dxa" w:w="120"/>
            </w:tcMar>
          </w:tcPr>
          <w:p>
            <w:r>
              <w:t xml:space="preserve">$25/mo</w:t>
            </w:r>
          </w:p>
        </w:tc>
        <w:tc>
          <w:tcPr>
            <w:tcW w:type="dxa" w:w="1200"/>
            <w:shd w:fill="F2F2F2" w:val="clear"/>
            <w:tcMar>
              <w:top w:type="dxa" w:w="80"/>
              <w:left w:type="dxa" w:w="120"/>
              <w:bottom w:type="dxa" w:w="80"/>
              <w:right w:type="dxa" w:w="120"/>
            </w:tcMar>
          </w:tcPr>
          <w:p>
            <w:r>
              <w:t xml:space="preserve">4-6 hours</w:t>
            </w:r>
          </w:p>
        </w:tc>
      </w:tr>
      <w:tr>
        <w:tc>
          <w:tcPr>
            <w:tcW w:type="dxa" w:w="1800"/>
            <w:shd w:fill="F2F2F2" w:val="clear"/>
            <w:tcMar>
              <w:top w:type="dxa" w:w="80"/>
              <w:left w:type="dxa" w:w="120"/>
              <w:bottom w:type="dxa" w:w="80"/>
              <w:right w:type="dxa" w:w="120"/>
            </w:tcMar>
          </w:tcPr>
          <w:p>
            <w:r>
              <w:t xml:space="preserve">Auth</w:t>
            </w:r>
          </w:p>
        </w:tc>
        <w:tc>
          <w:tcPr>
            <w:tcW w:type="dxa" w:w="2000"/>
            <w:shd w:fill="F2F2F2" w:val="clear"/>
            <w:tcMar>
              <w:top w:type="dxa" w:w="80"/>
              <w:left w:type="dxa" w:w="120"/>
              <w:bottom w:type="dxa" w:w="80"/>
              <w:right w:type="dxa" w:w="120"/>
            </w:tcMar>
          </w:tcPr>
          <w:p>
            <w:r>
              <w:t xml:space="preserve">Supabase Auth</w:t>
            </w:r>
          </w:p>
        </w:tc>
        <w:tc>
          <w:tcPr>
            <w:tcW w:type="dxa" w:w="2200"/>
            <w:shd w:fill="F2F2F2" w:val="clear"/>
            <w:tcMar>
              <w:top w:type="dxa" w:w="80"/>
              <w:left w:type="dxa" w:w="120"/>
              <w:bottom w:type="dxa" w:w="80"/>
              <w:right w:type="dxa" w:w="120"/>
            </w:tcMar>
          </w:tcPr>
          <w:p>
            <w:r>
              <w:t xml:space="preserve">Kakao OAuth + email</w:t>
            </w:r>
          </w:p>
        </w:tc>
        <w:tc>
          <w:tcPr>
            <w:tcW w:type="dxa" w:w="1800"/>
            <w:shd w:fill="F2F2F2" w:val="clear"/>
            <w:tcMar>
              <w:top w:type="dxa" w:w="80"/>
              <w:left w:type="dxa" w:w="120"/>
              <w:bottom w:type="dxa" w:w="80"/>
              <w:right w:type="dxa" w:w="120"/>
            </w:tcMar>
          </w:tcPr>
          <w:p>
            <w:r>
              <w:t xml:space="preserve">Free (50K MAU)</w:t>
            </w:r>
          </w:p>
        </w:tc>
        <w:tc>
          <w:tcPr>
            <w:tcW w:type="dxa" w:w="1800"/>
            <w:shd w:fill="F2F2F2" w:val="clear"/>
            <w:tcMar>
              <w:top w:type="dxa" w:w="80"/>
              <w:left w:type="dxa" w:w="120"/>
              <w:bottom w:type="dxa" w:w="80"/>
              <w:right w:type="dxa" w:w="120"/>
            </w:tcMar>
          </w:tcPr>
          <w:p>
            <w:r>
              <w:t xml:space="preserve">Included</w:t>
            </w:r>
          </w:p>
        </w:tc>
        <w:tc>
          <w:tcPr>
            <w:tcW w:type="dxa" w:w="1200"/>
            <w:shd w:fill="F2F2F2" w:val="clear"/>
            <w:tcMar>
              <w:top w:type="dxa" w:w="80"/>
              <w:left w:type="dxa" w:w="120"/>
              <w:bottom w:type="dxa" w:w="80"/>
              <w:right w:type="dxa" w:w="120"/>
            </w:tcMar>
          </w:tcPr>
          <w:p>
            <w:r>
              <w:t xml:space="preserve">3-4 hours</w:t>
            </w:r>
          </w:p>
        </w:tc>
      </w:tr>
      <w:tr>
        <w:tc>
          <w:tcPr>
            <w:tcW w:type="dxa" w:w="1800"/>
            <w:shd w:fill="F2F2F2" w:val="clear"/>
            <w:tcMar>
              <w:top w:type="dxa" w:w="80"/>
              <w:left w:type="dxa" w:w="120"/>
              <w:bottom w:type="dxa" w:w="80"/>
              <w:right w:type="dxa" w:w="120"/>
            </w:tcMar>
          </w:tcPr>
          <w:p>
            <w:r>
              <w:t xml:space="preserve">AI Transform</w:t>
            </w:r>
          </w:p>
        </w:tc>
        <w:tc>
          <w:tcPr>
            <w:tcW w:type="dxa" w:w="2000"/>
            <w:shd w:fill="F2F2F2" w:val="clear"/>
            <w:tcMar>
              <w:top w:type="dxa" w:w="80"/>
              <w:left w:type="dxa" w:w="120"/>
              <w:bottom w:type="dxa" w:w="80"/>
              <w:right w:type="dxa" w:w="120"/>
            </w:tcMar>
          </w:tcPr>
          <w:p>
            <w:r>
              <w:t xml:space="preserve">Anthropic Claude Sonnet</w:t>
            </w:r>
          </w:p>
        </w:tc>
        <w:tc>
          <w:tcPr>
            <w:tcW w:type="dxa" w:w="2200"/>
            <w:shd w:fill="F2F2F2" w:val="clear"/>
            <w:tcMar>
              <w:top w:type="dxa" w:w="80"/>
              <w:left w:type="dxa" w:w="120"/>
              <w:bottom w:type="dxa" w:w="80"/>
              <w:right w:type="dxa" w:w="120"/>
            </w:tcMar>
          </w:tcPr>
          <w:p>
            <w:r>
              <w:t xml:space="preserve">Prompt execution</w:t>
            </w:r>
          </w:p>
        </w:tc>
        <w:tc>
          <w:tcPr>
            <w:tcW w:type="dxa" w:w="1800"/>
            <w:shd w:fill="F2F2F2" w:val="clear"/>
            <w:tcMar>
              <w:top w:type="dxa" w:w="80"/>
              <w:left w:type="dxa" w:w="120"/>
              <w:bottom w:type="dxa" w:w="80"/>
              <w:right w:type="dxa" w:w="120"/>
            </w:tcMar>
          </w:tcPr>
          <w:p>
            <w:r>
              <w:t xml:space="preserve">$0.03-0.08/feedback</w:t>
            </w:r>
          </w:p>
        </w:tc>
        <w:tc>
          <w:tcPr>
            <w:tcW w:type="dxa" w:w="1800"/>
            <w:shd w:fill="F2F2F2" w:val="clear"/>
            <w:tcMar>
              <w:top w:type="dxa" w:w="80"/>
              <w:left w:type="dxa" w:w="120"/>
              <w:bottom w:type="dxa" w:w="80"/>
              <w:right w:type="dxa" w:w="120"/>
            </w:tcMar>
          </w:tcPr>
          <w:p>
            <w:r>
              <w:t xml:space="preserve">$50-200/mo</w:t>
            </w:r>
          </w:p>
        </w:tc>
        <w:tc>
          <w:tcPr>
            <w:tcW w:type="dxa" w:w="1200"/>
            <w:shd w:fill="F2F2F2" w:val="clear"/>
            <w:tcMar>
              <w:top w:type="dxa" w:w="80"/>
              <w:left w:type="dxa" w:w="120"/>
              <w:bottom w:type="dxa" w:w="80"/>
              <w:right w:type="dxa" w:w="120"/>
            </w:tcMar>
          </w:tcPr>
          <w:p>
            <w:r>
              <w:t xml:space="preserve">Already built</w:t>
            </w:r>
          </w:p>
        </w:tc>
      </w:tr>
      <w:tr>
        <w:tc>
          <w:tcPr>
            <w:tcW w:type="dxa" w:w="1800"/>
            <w:shd w:fill="F2F2F2" w:val="clear"/>
            <w:tcMar>
              <w:top w:type="dxa" w:w="80"/>
              <w:left w:type="dxa" w:w="120"/>
              <w:bottom w:type="dxa" w:w="80"/>
              <w:right w:type="dxa" w:w="120"/>
            </w:tcMar>
          </w:tcPr>
          <w:p>
            <w:r>
              <w:t xml:space="preserve">Voice Input</w:t>
            </w:r>
          </w:p>
        </w:tc>
        <w:tc>
          <w:tcPr>
            <w:tcW w:type="dxa" w:w="2000"/>
            <w:shd w:fill="F2F2F2" w:val="clear"/>
            <w:tcMar>
              <w:top w:type="dxa" w:w="80"/>
              <w:left w:type="dxa" w:w="120"/>
              <w:bottom w:type="dxa" w:w="80"/>
              <w:right w:type="dxa" w:w="120"/>
            </w:tcMar>
          </w:tcPr>
          <w:p>
            <w:r>
              <w:t xml:space="preserve">Web Speech API</w:t>
            </w:r>
          </w:p>
        </w:tc>
        <w:tc>
          <w:tcPr>
            <w:tcW w:type="dxa" w:w="2200"/>
            <w:shd w:fill="F2F2F2" w:val="clear"/>
            <w:tcMar>
              <w:top w:type="dxa" w:w="80"/>
              <w:left w:type="dxa" w:w="120"/>
              <w:bottom w:type="dxa" w:w="80"/>
              <w:right w:type="dxa" w:w="120"/>
            </w:tcMar>
          </w:tcPr>
          <w:p>
            <w:r>
              <w:t xml:space="preserve">Korean speech-to-text</w:t>
            </w:r>
          </w:p>
        </w:tc>
        <w:tc>
          <w:tcPr>
            <w:tcW w:type="dxa" w:w="1800"/>
            <w:shd w:fill="F2F2F2" w:val="clear"/>
            <w:tcMar>
              <w:top w:type="dxa" w:w="80"/>
              <w:left w:type="dxa" w:w="120"/>
              <w:bottom w:type="dxa" w:w="80"/>
              <w:right w:type="dxa" w:w="120"/>
            </w:tcMar>
          </w:tcPr>
          <w:p>
            <w:r>
              <w:t xml:space="preserve">Free</w:t>
            </w:r>
          </w:p>
        </w:tc>
        <w:tc>
          <w:tcPr>
            <w:tcW w:type="dxa" w:w="1800"/>
            <w:shd w:fill="F2F2F2" w:val="clear"/>
            <w:tcMar>
              <w:top w:type="dxa" w:w="80"/>
              <w:left w:type="dxa" w:w="120"/>
              <w:bottom w:type="dxa" w:w="80"/>
              <w:right w:type="dxa" w:w="120"/>
            </w:tcMar>
          </w:tcPr>
          <w:p>
            <w:r>
              <w:t xml:space="preserve">Free</w:t>
            </w:r>
          </w:p>
        </w:tc>
        <w:tc>
          <w:tcPr>
            <w:tcW w:type="dxa" w:w="1200"/>
            <w:shd w:fill="F2F2F2" w:val="clear"/>
            <w:tcMar>
              <w:top w:type="dxa" w:w="80"/>
              <w:left w:type="dxa" w:w="120"/>
              <w:bottom w:type="dxa" w:w="80"/>
              <w:right w:type="dxa" w:w="120"/>
            </w:tcMar>
          </w:tcPr>
          <w:p>
            <w:r>
              <w:t xml:space="preserve">Already built</w:t>
            </w:r>
          </w:p>
        </w:tc>
      </w:tr>
      <w:tr>
        <w:tc>
          <w:tcPr>
            <w:tcW w:type="dxa" w:w="1800"/>
            <w:shd w:fill="F2F2F2" w:val="clear"/>
            <w:tcMar>
              <w:top w:type="dxa" w:w="80"/>
              <w:left w:type="dxa" w:w="120"/>
              <w:bottom w:type="dxa" w:w="80"/>
              <w:right w:type="dxa" w:w="120"/>
            </w:tcMar>
          </w:tcPr>
          <w:p>
            <w:r>
              <w:t xml:space="preserve">Voice (Upgrade)</w:t>
            </w:r>
          </w:p>
        </w:tc>
        <w:tc>
          <w:tcPr>
            <w:tcW w:type="dxa" w:w="2000"/>
            <w:shd w:fill="F2F2F2" w:val="clear"/>
            <w:tcMar>
              <w:top w:type="dxa" w:w="80"/>
              <w:left w:type="dxa" w:w="120"/>
              <w:bottom w:type="dxa" w:w="80"/>
              <w:right w:type="dxa" w:w="120"/>
            </w:tcMar>
          </w:tcPr>
          <w:p>
            <w:r>
              <w:t xml:space="preserve">Deepgram Nova-3 Medical</w:t>
            </w:r>
          </w:p>
        </w:tc>
        <w:tc>
          <w:tcPr>
            <w:tcW w:type="dxa" w:w="2200"/>
            <w:shd w:fill="F2F2F2" w:val="clear"/>
            <w:tcMar>
              <w:top w:type="dxa" w:w="80"/>
              <w:left w:type="dxa" w:w="120"/>
              <w:bottom w:type="dxa" w:w="80"/>
              <w:right w:type="dxa" w:w="120"/>
            </w:tcMar>
          </w:tcPr>
          <w:p>
            <w:r>
              <w:t xml:space="preserve">Medical-grade Korean STT</w:t>
            </w:r>
          </w:p>
        </w:tc>
        <w:tc>
          <w:tcPr>
            <w:tcW w:type="dxa" w:w="1800"/>
            <w:shd w:fill="F2F2F2" w:val="clear"/>
            <w:tcMar>
              <w:top w:type="dxa" w:w="80"/>
              <w:left w:type="dxa" w:w="120"/>
              <w:bottom w:type="dxa" w:w="80"/>
              <w:right w:type="dxa" w:w="120"/>
            </w:tcMar>
          </w:tcPr>
          <w:p>
            <w:r>
              <w:t xml:space="preserve">$0.0077/min</w:t>
            </w:r>
          </w:p>
        </w:tc>
        <w:tc>
          <w:tcPr>
            <w:tcW w:type="dxa" w:w="1800"/>
            <w:shd w:fill="F2F2F2" w:val="clear"/>
            <w:tcMar>
              <w:top w:type="dxa" w:w="80"/>
              <w:left w:type="dxa" w:w="120"/>
              <w:bottom w:type="dxa" w:w="80"/>
              <w:right w:type="dxa" w:w="120"/>
            </w:tcMar>
          </w:tcPr>
          <w:p>
            <w:r>
              <w:t xml:space="preserve">$400-600/mo</w:t>
            </w:r>
          </w:p>
        </w:tc>
        <w:tc>
          <w:tcPr>
            <w:tcW w:type="dxa" w:w="1200"/>
            <w:shd w:fill="F2F2F2" w:val="clear"/>
            <w:tcMar>
              <w:top w:type="dxa" w:w="80"/>
              <w:left w:type="dxa" w:w="120"/>
              <w:bottom w:type="dxa" w:w="80"/>
              <w:right w:type="dxa" w:w="120"/>
            </w:tcMar>
          </w:tcPr>
          <w:p>
            <w:r>
              <w:t xml:space="preserve">4-5 days</w:t>
            </w:r>
          </w:p>
        </w:tc>
      </w:tr>
      <w:tr>
        <w:tc>
          <w:tcPr>
            <w:tcW w:type="dxa" w:w="1800"/>
            <w:shd w:fill="F2F2F2" w:val="clear"/>
            <w:tcMar>
              <w:top w:type="dxa" w:w="80"/>
              <w:left w:type="dxa" w:w="120"/>
              <w:bottom w:type="dxa" w:w="80"/>
              <w:right w:type="dxa" w:w="120"/>
            </w:tcMar>
          </w:tcPr>
          <w:p>
            <w:r>
              <w:t xml:space="preserve">PDF Generation</w:t>
            </w:r>
          </w:p>
        </w:tc>
        <w:tc>
          <w:tcPr>
            <w:tcW w:type="dxa" w:w="2000"/>
            <w:shd w:fill="F2F2F2" w:val="clear"/>
            <w:tcMar>
              <w:top w:type="dxa" w:w="80"/>
              <w:left w:type="dxa" w:w="120"/>
              <w:bottom w:type="dxa" w:w="80"/>
              <w:right w:type="dxa" w:w="120"/>
            </w:tcMar>
          </w:tcPr>
          <w:p>
            <w:r>
              <w:t xml:space="preserve">Puppeteer + @sparticuz</w:t>
            </w:r>
          </w:p>
        </w:tc>
        <w:tc>
          <w:tcPr>
            <w:tcW w:type="dxa" w:w="2200"/>
            <w:shd w:fill="F2F2F2" w:val="clear"/>
            <w:tcMar>
              <w:top w:type="dxa" w:w="80"/>
              <w:left w:type="dxa" w:w="120"/>
              <w:bottom w:type="dxa" w:w="80"/>
              <w:right w:type="dxa" w:w="120"/>
            </w:tcMar>
          </w:tcPr>
          <w:p>
            <w:r>
              <w:t xml:space="preserve">Korean PDF with fonts</w:t>
            </w:r>
          </w:p>
        </w:tc>
        <w:tc>
          <w:tcPr>
            <w:tcW w:type="dxa" w:w="1800"/>
            <w:shd w:fill="F2F2F2" w:val="clear"/>
            <w:tcMar>
              <w:top w:type="dxa" w:w="80"/>
              <w:left w:type="dxa" w:w="120"/>
              <w:bottom w:type="dxa" w:w="80"/>
              <w:right w:type="dxa" w:w="120"/>
            </w:tcMar>
          </w:tcPr>
          <w:p>
            <w:r>
              <w:t xml:space="preserve">Free</w:t>
            </w:r>
          </w:p>
        </w:tc>
        <w:tc>
          <w:tcPr>
            <w:tcW w:type="dxa" w:w="1800"/>
            <w:shd w:fill="F2F2F2" w:val="clear"/>
            <w:tcMar>
              <w:top w:type="dxa" w:w="80"/>
              <w:left w:type="dxa" w:w="120"/>
              <w:bottom w:type="dxa" w:w="80"/>
              <w:right w:type="dxa" w:w="120"/>
            </w:tcMar>
          </w:tcPr>
          <w:p>
            <w:r>
              <w:t xml:space="preserve">Free</w:t>
            </w:r>
          </w:p>
        </w:tc>
        <w:tc>
          <w:tcPr>
            <w:tcW w:type="dxa" w:w="1200"/>
            <w:shd w:fill="F2F2F2" w:val="clear"/>
            <w:tcMar>
              <w:top w:type="dxa" w:w="80"/>
              <w:left w:type="dxa" w:w="120"/>
              <w:bottom w:type="dxa" w:w="80"/>
              <w:right w:type="dxa" w:w="120"/>
            </w:tcMar>
          </w:tcPr>
          <w:p>
            <w:r>
              <w:t xml:space="preserve">2 hours</w:t>
            </w:r>
          </w:p>
        </w:tc>
      </w:tr>
      <w:tr>
        <w:tc>
          <w:tcPr>
            <w:tcW w:type="dxa" w:w="1800"/>
            <w:shd w:fill="F2F2F2" w:val="clear"/>
            <w:tcMar>
              <w:top w:type="dxa" w:w="80"/>
              <w:left w:type="dxa" w:w="120"/>
              <w:bottom w:type="dxa" w:w="80"/>
              <w:right w:type="dxa" w:w="120"/>
            </w:tcMar>
          </w:tcPr>
          <w:p>
            <w:r>
              <w:t xml:space="preserve">Email</w:t>
            </w:r>
          </w:p>
        </w:tc>
        <w:tc>
          <w:tcPr>
            <w:tcW w:type="dxa" w:w="2000"/>
            <w:shd w:fill="F2F2F2" w:val="clear"/>
            <w:tcMar>
              <w:top w:type="dxa" w:w="80"/>
              <w:left w:type="dxa" w:w="120"/>
              <w:bottom w:type="dxa" w:w="80"/>
              <w:right w:type="dxa" w:w="120"/>
            </w:tcMar>
          </w:tcPr>
          <w:p>
            <w:r>
              <w:t xml:space="preserve">Resend</w:t>
            </w:r>
          </w:p>
        </w:tc>
        <w:tc>
          <w:tcPr>
            <w:tcW w:type="dxa" w:w="2200"/>
            <w:shd w:fill="F2F2F2" w:val="clear"/>
            <w:tcMar>
              <w:top w:type="dxa" w:w="80"/>
              <w:left w:type="dxa" w:w="120"/>
              <w:bottom w:type="dxa" w:w="80"/>
              <w:right w:type="dxa" w:w="120"/>
            </w:tcMar>
          </w:tcPr>
          <w:p>
            <w:r>
              <w:t xml:space="preserve">Transactional delivery</w:t>
            </w:r>
          </w:p>
        </w:tc>
        <w:tc>
          <w:tcPr>
            <w:tcW w:type="dxa" w:w="1800"/>
            <w:shd w:fill="F2F2F2" w:val="clear"/>
            <w:tcMar>
              <w:top w:type="dxa" w:w="80"/>
              <w:left w:type="dxa" w:w="120"/>
              <w:bottom w:type="dxa" w:w="80"/>
              <w:right w:type="dxa" w:w="120"/>
            </w:tcMar>
          </w:tcPr>
          <w:p>
            <w:r>
              <w:t xml:space="preserve">Free (100/day)</w:t>
            </w:r>
          </w:p>
        </w:tc>
        <w:tc>
          <w:tcPr>
            <w:tcW w:type="dxa" w:w="1800"/>
            <w:shd w:fill="F2F2F2" w:val="clear"/>
            <w:tcMar>
              <w:top w:type="dxa" w:w="80"/>
              <w:left w:type="dxa" w:w="120"/>
              <w:bottom w:type="dxa" w:w="80"/>
              <w:right w:type="dxa" w:w="120"/>
            </w:tcMar>
          </w:tcPr>
          <w:p>
            <w:r>
              <w:t xml:space="preserve">$20/mo</w:t>
            </w:r>
          </w:p>
        </w:tc>
        <w:tc>
          <w:tcPr>
            <w:tcW w:type="dxa" w:w="1200"/>
            <w:shd w:fill="F2F2F2" w:val="clear"/>
            <w:tcMar>
              <w:top w:type="dxa" w:w="80"/>
              <w:left w:type="dxa" w:w="120"/>
              <w:bottom w:type="dxa" w:w="80"/>
              <w:right w:type="dxa" w:w="120"/>
            </w:tcMar>
          </w:tcPr>
          <w:p>
            <w:r>
              <w:t xml:space="preserve">2 hours</w:t>
            </w:r>
          </w:p>
        </w:tc>
      </w:tr>
      <w:tr>
        <w:tc>
          <w:tcPr>
            <w:tcW w:type="dxa" w:w="1800"/>
            <w:shd w:fill="F2F2F2" w:val="clear"/>
            <w:tcMar>
              <w:top w:type="dxa" w:w="80"/>
              <w:left w:type="dxa" w:w="120"/>
              <w:bottom w:type="dxa" w:w="80"/>
              <w:right w:type="dxa" w:w="120"/>
            </w:tcMar>
          </w:tcPr>
          <w:p>
            <w:r>
              <w:t xml:space="preserve">Domain</w:t>
            </w:r>
          </w:p>
        </w:tc>
        <w:tc>
          <w:tcPr>
            <w:tcW w:type="dxa" w:w="2000"/>
            <w:shd w:fill="F2F2F2" w:val="clear"/>
            <w:tcMar>
              <w:top w:type="dxa" w:w="80"/>
              <w:left w:type="dxa" w:w="120"/>
              <w:bottom w:type="dxa" w:w="80"/>
              <w:right w:type="dxa" w:w="120"/>
            </w:tcMar>
          </w:tcPr>
          <w:p>
            <w:r>
              <w:t xml:space="preserve">.kr via Gabia</w:t>
            </w:r>
          </w:p>
        </w:tc>
        <w:tc>
          <w:tcPr>
            <w:tcW w:type="dxa" w:w="2200"/>
            <w:shd w:fill="F2F2F2" w:val="clear"/>
            <w:tcMar>
              <w:top w:type="dxa" w:w="80"/>
              <w:left w:type="dxa" w:w="120"/>
              <w:bottom w:type="dxa" w:w="80"/>
              <w:right w:type="dxa" w:w="120"/>
            </w:tcMar>
          </w:tcPr>
          <w:p>
            <w:r>
              <w:t xml:space="preserve">preceptorsupport.kr</w:t>
            </w:r>
          </w:p>
        </w:tc>
        <w:tc>
          <w:tcPr>
            <w:tcW w:type="dxa" w:w="1800"/>
            <w:shd w:fill="F2F2F2" w:val="clear"/>
            <w:tcMar>
              <w:top w:type="dxa" w:w="80"/>
              <w:left w:type="dxa" w:w="120"/>
              <w:bottom w:type="dxa" w:w="80"/>
              <w:right w:type="dxa" w:w="120"/>
            </w:tcMar>
          </w:tcPr>
          <w:p>
            <w:r>
              <w:t xml:space="preserve">$20/year</w:t>
            </w:r>
          </w:p>
        </w:tc>
        <w:tc>
          <w:tcPr>
            <w:tcW w:type="dxa" w:w="1800"/>
            <w:shd w:fill="F2F2F2" w:val="clear"/>
            <w:tcMar>
              <w:top w:type="dxa" w:w="80"/>
              <w:left w:type="dxa" w:w="120"/>
              <w:bottom w:type="dxa" w:w="80"/>
              <w:right w:type="dxa" w:w="120"/>
            </w:tcMar>
          </w:tcPr>
          <w:p>
            <w:r>
              <w:t xml:space="preserve">$20/year</w:t>
            </w:r>
          </w:p>
        </w:tc>
        <w:tc>
          <w:tcPr>
            <w:tcW w:type="dxa" w:w="1200"/>
            <w:shd w:fill="F2F2F2" w:val="clear"/>
            <w:tcMar>
              <w:top w:type="dxa" w:w="80"/>
              <w:left w:type="dxa" w:w="120"/>
              <w:bottom w:type="dxa" w:w="80"/>
              <w:right w:type="dxa" w:w="120"/>
            </w:tcMar>
          </w:tcPr>
          <w:p>
            <w:r>
              <w:t xml:space="preserve">2-3 days</w:t>
            </w:r>
          </w:p>
        </w:tc>
      </w:tr>
      <w:tr>
        <w:tc>
          <w:tcPr>
            <w:tcW w:type="dxa" w:w="1800"/>
            <w:shd w:fill="F2F2F2" w:val="clear"/>
            <w:tcMar>
              <w:top w:type="dxa" w:w="80"/>
              <w:left w:type="dxa" w:w="120"/>
              <w:bottom w:type="dxa" w:w="80"/>
              <w:right w:type="dxa" w:w="120"/>
            </w:tcMar>
          </w:tcPr>
          <w:p>
            <w:r>
              <w:t xml:space="preserve">Monitoring</w:t>
            </w:r>
          </w:p>
        </w:tc>
        <w:tc>
          <w:tcPr>
            <w:tcW w:type="dxa" w:w="2000"/>
            <w:shd w:fill="F2F2F2" w:val="clear"/>
            <w:tcMar>
              <w:top w:type="dxa" w:w="80"/>
              <w:left w:type="dxa" w:w="120"/>
              <w:bottom w:type="dxa" w:w="80"/>
              <w:right w:type="dxa" w:w="120"/>
            </w:tcMar>
          </w:tcPr>
          <w:p>
            <w:r>
              <w:t xml:space="preserve">Vercel Analytics</w:t>
            </w:r>
          </w:p>
        </w:tc>
        <w:tc>
          <w:tcPr>
            <w:tcW w:type="dxa" w:w="2200"/>
            <w:shd w:fill="F2F2F2" w:val="clear"/>
            <w:tcMar>
              <w:top w:type="dxa" w:w="80"/>
              <w:left w:type="dxa" w:w="120"/>
              <w:bottom w:type="dxa" w:w="80"/>
              <w:right w:type="dxa" w:w="120"/>
            </w:tcMar>
          </w:tcPr>
          <w:p>
            <w:r>
              <w:t xml:space="preserve">Usage tracking</w:t>
            </w:r>
          </w:p>
        </w:tc>
        <w:tc>
          <w:tcPr>
            <w:tcW w:type="dxa" w:w="1800"/>
            <w:shd w:fill="F2F2F2" w:val="clear"/>
            <w:tcMar>
              <w:top w:type="dxa" w:w="80"/>
              <w:left w:type="dxa" w:w="120"/>
              <w:bottom w:type="dxa" w:w="80"/>
              <w:right w:type="dxa" w:w="120"/>
            </w:tcMar>
          </w:tcPr>
          <w:p>
            <w:r>
              <w:t xml:space="preserve">Free</w:t>
            </w:r>
          </w:p>
        </w:tc>
        <w:tc>
          <w:tcPr>
            <w:tcW w:type="dxa" w:w="1800"/>
            <w:shd w:fill="F2F2F2" w:val="clear"/>
            <w:tcMar>
              <w:top w:type="dxa" w:w="80"/>
              <w:left w:type="dxa" w:w="120"/>
              <w:bottom w:type="dxa" w:w="80"/>
              <w:right w:type="dxa" w:w="120"/>
            </w:tcMar>
          </w:tcPr>
          <w:p>
            <w:r>
              <w:t xml:space="preserve">$10/mo</w:t>
            </w:r>
          </w:p>
        </w:tc>
        <w:tc>
          <w:tcPr>
            <w:tcW w:type="dxa" w:w="1200"/>
            <w:shd w:fill="F2F2F2" w:val="clear"/>
            <w:tcMar>
              <w:top w:type="dxa" w:w="80"/>
              <w:left w:type="dxa" w:w="120"/>
              <w:bottom w:type="dxa" w:w="80"/>
              <w:right w:type="dxa" w:w="120"/>
            </w:tcMar>
          </w:tcPr>
          <w:p>
            <w:r>
              <w:t xml:space="preserve">30 min</w:t>
            </w:r>
          </w:p>
        </w:tc>
      </w:tr>
    </w:tbl>
    <w:p>
      <w:pPr>
        <w:spacing w:after="100"/>
      </w:pPr>
    </w:p>
    <w:p>
      <w:pPr>
        <w:spacing w:after="100"/>
      </w:pPr>
      <w:r>
        <w:t xml:space="preserve">Total MVP monthly cost: ~$40/mo + API usage (~$20–50/mo for first hospital)</w:t>
      </w:r>
    </w:p>
    <w:p>
      <w:pPr>
        <w:spacing w:after="100"/>
      </w:pPr>
      <w:r>
        <w:t xml:space="preserve">Total at scale (20 hospitals, 100+ preceptors): ~$275–850/mo + API costs</w:t>
      </w:r>
    </w:p>
    <w:p>
      <w:pPr>
        <w:pageBreakBefore/>
      </w:pPr>
    </w:p>
    <w:p>
      <w:pPr>
        <w:pStyle w:val="Heading1"/>
        <w:pStyle w:val="Heading1"/>
        <w:spacing w:before="400" w:after="100"/>
      </w:pPr>
      <w:r>
        <w:t xml:space="preserve">Build Sequence (16–22 Hours)</w:t>
      </w:r>
    </w:p>
    <w:p>
      <w:pPr>
        <w:pStyle w:val="Heading2"/>
        <w:pStyle w:val="Heading2"/>
        <w:spacing w:before="200" w:after="100"/>
      </w:pPr>
      <w:r>
        <w:t xml:space="preserve">Phase 1 — Foundation (5–7 hours)</w:t>
      </w:r>
    </w:p>
    <w:p>
      <w:pPr>
        <w:pStyle w:val="ListParagraph"/>
        <w:numPr>
          <w:ilvl w:val="0"/>
          <w:numId w:val="{undefined-0}"/>
        </w:numPr>
        <w:spacing w:after="80"/>
      </w:pPr>
      <w:r>
        <w:t xml:space="preserve">Set up Supabase project: create tables, enable RLS policies, configure auth providers (Kakao OAuth). (2–3 hours)</w:t>
      </w:r>
    </w:p>
    <w:p>
      <w:pPr>
        <w:pStyle w:val="ListParagraph"/>
        <w:numPr>
          <w:ilvl w:val="0"/>
          <w:numId w:val="{undefined-0}"/>
        </w:numPr>
        <w:spacing w:after="80"/>
      </w:pPr>
      <w:r>
        <w:t xml:space="preserve">Replace JSON file store (src/lib/db.ts) with Supabase client calls. Test with existing prototype data. (2 hours)</w:t>
      </w:r>
    </w:p>
    <w:p>
      <w:pPr>
        <w:pStyle w:val="ListParagraph"/>
        <w:numPr>
          <w:ilvl w:val="0"/>
          <w:numId w:val="{undefined-0}"/>
        </w:numPr>
        <w:spacing w:after="80"/>
      </w:pPr>
      <w:r>
        <w:t xml:space="preserve">Add auth: create login page, implement auth context, protect routes. (2–3 hours)</w:t>
      </w:r>
    </w:p>
    <w:p>
      <w:pPr>
        <w:pStyle w:val="Heading2"/>
        <w:pStyle w:val="Heading2"/>
        <w:spacing w:before="200" w:after="100"/>
      </w:pPr>
      <w:r>
        <w:t xml:space="preserve">Phase 2 — Polish (4–6 hours)</w:t>
      </w:r>
    </w:p>
    <w:p>
      <w:pPr>
        <w:pStyle w:val="ListParagraph"/>
        <w:numPr>
          <w:ilvl w:val="0"/>
          <w:numId w:val="{undefined-0}"/>
        </w:numPr>
        <w:spacing w:after="80"/>
      </w:pPr>
      <w:r>
        <w:t xml:space="preserve">Install puppeteer-core, add npm script for Noto Sans KR font; test PDF generation. (1–2 hours)</w:t>
      </w:r>
    </w:p>
    <w:p>
      <w:pPr>
        <w:pStyle w:val="ListParagraph"/>
        <w:numPr>
          <w:ilvl w:val="0"/>
          <w:numId w:val="{undefined-0}"/>
        </w:numPr>
        <w:spacing w:after="80"/>
      </w:pPr>
      <w:r>
        <w:t xml:space="preserve">Integrate Resend: npm install resend; add email dispatch to /api/finalise endpoint. (2 hours)</w:t>
      </w:r>
    </w:p>
    <w:p>
      <w:pPr>
        <w:pStyle w:val="ListParagraph"/>
        <w:numPr>
          <w:ilvl w:val="0"/>
          <w:numId w:val="{undefined-0}"/>
        </w:numPr>
        <w:spacing w:after="80"/>
      </w:pPr>
      <w:r>
        <w:t xml:space="preserve">Mobile responsiveness pass: test on iPhone 12/14, ensure voice button is tappable. (2 hours)</w:t>
      </w:r>
    </w:p>
    <w:p>
      <w:pPr>
        <w:pStyle w:val="Heading2"/>
        <w:pStyle w:val="Heading2"/>
        <w:spacing w:before="200" w:after="100"/>
      </w:pPr>
      <w:r>
        <w:t xml:space="preserve">Phase 3 — Deploy (3–4 hours)</w:t>
      </w:r>
    </w:p>
    <w:p>
      <w:pPr>
        <w:pStyle w:val="ListParagraph"/>
        <w:numPr>
          <w:ilvl w:val="0"/>
          <w:numId w:val="{undefined-0}"/>
        </w:numPr>
        <w:spacing w:after="80"/>
      </w:pPr>
      <w:r>
        <w:t xml:space="preserve">Register preceptorsupport.kr via Gabia; use trustee service; wait 1–2 days for approval. (1 hour active)</w:t>
      </w:r>
    </w:p>
    <w:p>
      <w:pPr>
        <w:pStyle w:val="ListParagraph"/>
        <w:numPr>
          <w:ilvl w:val="0"/>
          <w:numId w:val="{undefined-0}"/>
        </w:numPr>
        <w:spacing w:after="80"/>
      </w:pPr>
      <w:r>
        <w:t xml:space="preserve">Deploy to Vercel: push code, link Vercel, set env vars, configure @sparticuz/chromium. (2 hours)</w:t>
      </w:r>
    </w:p>
    <w:p>
      <w:pPr>
        <w:pStyle w:val="ListParagraph"/>
        <w:numPr>
          <w:ilvl w:val="0"/>
          <w:numId w:val="{undefined-0}"/>
        </w:numPr>
        <w:spacing w:after="80"/>
      </w:pPr>
      <w:r>
        <w:t xml:space="preserve">Configure Resend: add SPF and DKIM records; test email delivery loop. (1 hour)</w:t>
      </w:r>
    </w:p>
    <w:p>
      <w:pPr>
        <w:pStyle w:val="Heading2"/>
        <w:pStyle w:val="Heading2"/>
        <w:spacing w:before="200" w:after="100"/>
      </w:pPr>
      <w:r>
        <w:t xml:space="preserve">Phase 4 — Validate (4–5 hours)</w:t>
      </w:r>
    </w:p>
    <w:p>
      <w:pPr>
        <w:pStyle w:val="ListParagraph"/>
        <w:numPr>
          <w:ilvl w:val="0"/>
          <w:numId w:val="{undefined-0}"/>
        </w:numPr>
        <w:spacing w:after="80"/>
      </w:pPr>
      <w:r>
        <w:t xml:space="preserve">End-to-end test: register nurse -&gt; voice input -&gt; transform -&gt; review -&gt; finalise -&gt; PDF in email (2 hours)</w:t>
      </w:r>
    </w:p>
    <w:p>
      <w:pPr>
        <w:pStyle w:val="ListParagraph"/>
        <w:numPr>
          <w:ilvl w:val="0"/>
          <w:numId w:val="{undefined-0}"/>
        </w:numPr>
        <w:spacing w:after="80"/>
      </w:pPr>
      <w:r>
        <w:t xml:space="preserve">Prompt contract tuning: test with real Korean nursing scenarios. (2–3 hours)</w:t>
      </w:r>
    </w:p>
    <w:p>
      <w:pPr>
        <w:pStyle w:val="ListParagraph"/>
        <w:numPr>
          <w:ilvl w:val="0"/>
          <w:numId w:val="{undefined-0}"/>
        </w:numPr>
        <w:spacing w:after="80"/>
      </w:pPr>
      <w:r>
        <w:t xml:space="preserve">Final checklist: verify hospital logo space, confirm Korean fonts, test Kakao OAuth. (1 hour)</w:t>
      </w:r>
    </w:p>
    <w:p>
      <w:pPr>
        <w:pageBreakBefore/>
      </w:pPr>
    </w:p>
    <w:p>
      <w:pPr>
        <w:pStyle w:val="Heading1"/>
        <w:pStyle w:val="Heading1"/>
        <w:spacing w:before="400" w:after="100"/>
      </w:pPr>
      <w:r>
        <w:t xml:space="preserve">.kr Domain Registration Guide</w:t>
      </w:r>
    </w:p>
    <w:p>
      <w:pPr>
        <w:spacing w:after="100"/>
      </w:pPr>
      <w:r>
        <w:t xml:space="preserve">South Korea has strict domain registry rules. Here is how to register as a foreigner:</w:t>
      </w:r>
    </w:p>
    <w:p>
      <w:pPr>
        <w:pStyle w:val="Heading2"/>
        <w:pStyle w:val="Heading2"/>
        <w:spacing w:before="200" w:after="100"/>
      </w:pPr>
      <w:r>
        <w:t xml:space="preserve">Step-by-Step</w:t>
      </w:r>
    </w:p>
    <w:p>
      <w:pPr>
        <w:pStyle w:val="ListParagraph"/>
        <w:numPr>
          <w:ilvl w:val="0"/>
          <w:numId w:val="1"/>
        </w:numPr>
        <w:spacing w:after="80"/>
      </w:pPr>
      <w:r>
        <w:t xml:space="preserve">Use Gabia (global.gabia.com) — Korea's largest IT registrar with English support.</w:t>
      </w:r>
    </w:p>
    <w:p>
      <w:pPr>
        <w:pStyle w:val="ListParagraph"/>
        <w:numPr>
          <w:ilvl w:val="0"/>
          <w:numId w:val="1"/>
        </w:numPr>
        <w:spacing w:after="80"/>
      </w:pPr>
      <w:r>
        <w:t xml:space="preserve">Foreign registrants use trustee service (free, included). Gabia provides a Korean address.</w:t>
      </w:r>
    </w:p>
    <w:p>
      <w:pPr>
        <w:pStyle w:val="ListParagraph"/>
        <w:numPr>
          <w:ilvl w:val="0"/>
          <w:numId w:val="1"/>
        </w:numPr>
        <w:spacing w:after="80"/>
      </w:pPr>
      <w:r>
        <w:t xml:space="preserve">Cost: ~19–25 USD/year (approximately 25,000–32,000 KRW).</w:t>
      </w:r>
    </w:p>
    <w:p>
      <w:pPr>
        <w:pStyle w:val="ListParagraph"/>
        <w:numPr>
          <w:ilvl w:val="0"/>
          <w:numId w:val="1"/>
        </w:numPr>
        <w:spacing w:after="80"/>
      </w:pPr>
      <w:r>
        <w:t xml:space="preserve">Timeline: 1–2 days processing, 24–48 hours DNS propagation.</w:t>
      </w:r>
    </w:p>
    <w:p>
      <w:pPr>
        <w:pStyle w:val="ListParagraph"/>
        <w:numPr>
          <w:ilvl w:val="0"/>
          <w:numId w:val="1"/>
        </w:numPr>
        <w:spacing w:after="80"/>
      </w:pPr>
      <w:r>
        <w:t xml:space="preserve">Documents: Gabia submits on your behalf; identity verification may be needed within 7 days.</w:t>
      </w:r>
    </w:p>
    <w:p>
      <w:pPr>
        <w:pStyle w:val="ListParagraph"/>
        <w:numPr>
          <w:ilvl w:val="0"/>
          <w:numId w:val="1"/>
        </w:numPr>
        <w:spacing w:after="80"/>
      </w:pPr>
      <w:r>
        <w:t xml:space="preserve">Alternative: .co.kr requires Korean business registration. Not recommended for initial launch.</w:t>
      </w:r>
    </w:p>
    <w:p>
      <w:pPr>
        <w:pStyle w:val="Heading2"/>
        <w:pStyle w:val="Heading2"/>
        <w:spacing w:before="200" w:after="100"/>
      </w:pPr>
      <w:r>
        <w:t xml:space="preserve">Recommendation</w:t>
      </w:r>
    </w:p>
    <w:p>
      <w:pPr>
        <w:spacing w:after="100"/>
      </w:pPr>
      <w:r>
        <w:t xml:space="preserve">Register preceptorsupport.kr immediately. If available, also reserve preceptor.kr as backup. Both should point to Vercel nameservers. Set up SPF/DKIM on the primary .kr domain before integrating with Resend.</w:t>
      </w:r>
    </w:p>
    <w:p>
      <w:pPr>
        <w:spacing w:after="100"/>
      </w:pPr>
      <w:r>
        <w:t xml:space="preserve">Timeline estimate: 2–3 days from Gabia submission to DNS active.</w:t>
      </w:r>
    </w:p>
    <w:p>
      <w:pPr>
        <w:pageBreakBefore/>
      </w:pPr>
    </w:p>
    <w:p>
      <w:pPr>
        <w:pStyle w:val="Heading1"/>
        <w:pStyle w:val="Heading1"/>
        <w:spacing w:before="400" w:after="100"/>
      </w:pPr>
      <w:r>
        <w:t xml:space="preserve">Voice Recognition — Web Speech API vs. Deepgram</w:t>
      </w:r>
    </w:p>
    <w:tbl>
      <w:tblPr>
        <w:tblW w:type="dxa" w:w="90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W w:type="dxa" w:w="2000"/>
            <w:shd w:fill="1F3A5F" w:color="FFFFFF" w:val="clear"/>
            <w:tcMar>
              <w:top w:type="dxa" w:w="80"/>
              <w:left w:type="dxa" w:w="120"/>
              <w:bottom w:type="dxa" w:w="80"/>
              <w:right w:type="dxa" w:w="120"/>
            </w:tcMar>
          </w:tcPr>
          <w:p>
            <w:r>
              <w:t xml:space="preserve">Feature</w:t>
            </w:r>
          </w:p>
        </w:tc>
        <w:tc>
          <w:tcPr>
            <w:tcW w:type="dxa" w:w="3500"/>
            <w:shd w:fill="1F3A5F" w:color="FFFFFF" w:val="clear"/>
            <w:tcMar>
              <w:top w:type="dxa" w:w="80"/>
              <w:left w:type="dxa" w:w="120"/>
              <w:bottom w:type="dxa" w:w="80"/>
              <w:right w:type="dxa" w:w="120"/>
            </w:tcMar>
          </w:tcPr>
          <w:p>
            <w:r>
              <w:t xml:space="preserve">Web Speech API (MVP)</w:t>
            </w:r>
          </w:p>
        </w:tc>
        <w:tc>
          <w:tcPr>
            <w:tcW w:type="dxa" w:w="3500"/>
            <w:shd w:fill="1F3A5F" w:color="FFFFFF" w:val="clear"/>
            <w:tcMar>
              <w:top w:type="dxa" w:w="80"/>
              <w:left w:type="dxa" w:w="120"/>
              <w:bottom w:type="dxa" w:w="80"/>
              <w:right w:type="dxa" w:w="120"/>
            </w:tcMar>
          </w:tcPr>
          <w:p>
            <w:r>
              <w:t xml:space="preserve">Deepgram Nova-3 Medical (Production)</w:t>
            </w:r>
          </w:p>
        </w:tc>
      </w:tr>
      <w:tr>
        <w:tc>
          <w:tcPr>
            <w:tcW w:type="dxa" w:w="2000"/>
            <w:shd w:fill="F2F2F2" w:val="clear"/>
            <w:tcMar>
              <w:top w:type="dxa" w:w="80"/>
              <w:left w:type="dxa" w:w="120"/>
              <w:bottom w:type="dxa" w:w="80"/>
              <w:right w:type="dxa" w:w="120"/>
            </w:tcMar>
          </w:tcPr>
          <w:p>
            <w:r>
              <w:t xml:space="preserve">Cost</w:t>
            </w:r>
          </w:p>
        </w:tc>
        <w:tc>
          <w:tcPr>
            <w:tcW w:type="dxa" w:w="3500"/>
            <w:shd w:fill="F2F2F2" w:val="clear"/>
            <w:tcMar>
              <w:top w:type="dxa" w:w="80"/>
              <w:left w:type="dxa" w:w="120"/>
              <w:bottom w:type="dxa" w:w="80"/>
              <w:right w:type="dxa" w:w="120"/>
            </w:tcMar>
          </w:tcPr>
          <w:p>
            <w:r>
              <w:t xml:space="preserve">Free</w:t>
            </w:r>
          </w:p>
        </w:tc>
        <w:tc>
          <w:tcPr>
            <w:tcW w:type="dxa" w:w="3500"/>
            <w:shd w:fill="F2F2F2" w:val="clear"/>
            <w:tcMar>
              <w:top w:type="dxa" w:w="80"/>
              <w:left w:type="dxa" w:w="120"/>
              <w:bottom w:type="dxa" w:w="80"/>
              <w:right w:type="dxa" w:w="120"/>
            </w:tcMar>
          </w:tcPr>
          <w:p>
            <w:r>
              <w:t xml:space="preserve">$0.0077/min</w:t>
            </w:r>
          </w:p>
        </w:tc>
      </w:tr>
      <w:tr>
        <w:tc>
          <w:tcPr>
            <w:tcW w:type="dxa" w:w="2000"/>
            <w:shd w:fill="F2F2F2" w:val="clear"/>
            <w:tcMar>
              <w:top w:type="dxa" w:w="80"/>
              <w:left w:type="dxa" w:w="120"/>
              <w:bottom w:type="dxa" w:w="80"/>
              <w:right w:type="dxa" w:w="120"/>
            </w:tcMar>
          </w:tcPr>
          <w:p>
            <w:r>
              <w:t xml:space="preserve">Korean Accuracy</w:t>
            </w:r>
          </w:p>
        </w:tc>
        <w:tc>
          <w:tcPr>
            <w:tcW w:type="dxa" w:w="3500"/>
            <w:shd w:fill="F2F2F2" w:val="clear"/>
            <w:tcMar>
              <w:top w:type="dxa" w:w="80"/>
              <w:left w:type="dxa" w:w="120"/>
              <w:bottom w:type="dxa" w:w="80"/>
              <w:right w:type="dxa" w:w="120"/>
            </w:tcMar>
          </w:tcPr>
          <w:p>
            <w:r>
              <w:t xml:space="preserve">Good (conversational)</w:t>
            </w:r>
          </w:p>
        </w:tc>
        <w:tc>
          <w:tcPr>
            <w:tcW w:type="dxa" w:w="3500"/>
            <w:shd w:fill="F2F2F2" w:val="clear"/>
            <w:tcMar>
              <w:top w:type="dxa" w:w="80"/>
              <w:left w:type="dxa" w:w="120"/>
              <w:bottom w:type="dxa" w:w="80"/>
              <w:right w:type="dxa" w:w="120"/>
            </w:tcMar>
          </w:tcPr>
          <w:p>
            <w:r>
              <w:t xml:space="preserve">90%+ (general); 80–85% (medical)</w:t>
            </w:r>
          </w:p>
        </w:tc>
      </w:tr>
      <w:tr>
        <w:tc>
          <w:tcPr>
            <w:tcW w:type="dxa" w:w="2000"/>
            <w:shd w:fill="F2F2F2" w:val="clear"/>
            <w:tcMar>
              <w:top w:type="dxa" w:w="80"/>
              <w:left w:type="dxa" w:w="120"/>
              <w:bottom w:type="dxa" w:w="80"/>
              <w:right w:type="dxa" w:w="120"/>
            </w:tcMar>
          </w:tcPr>
          <w:p>
            <w:r>
              <w:t xml:space="preserve">Medical Specialization</w:t>
            </w:r>
          </w:p>
        </w:tc>
        <w:tc>
          <w:tcPr>
            <w:tcW w:type="dxa" w:w="3500"/>
            <w:shd w:fill="F2F2F2" w:val="clear"/>
            <w:tcMar>
              <w:top w:type="dxa" w:w="80"/>
              <w:left w:type="dxa" w:w="120"/>
              <w:bottom w:type="dxa" w:w="80"/>
              <w:right w:type="dxa" w:w="120"/>
            </w:tcMar>
          </w:tcPr>
          <w:p>
            <w:r>
              <w:t xml:space="preserve">None</w:t>
            </w:r>
          </w:p>
        </w:tc>
        <w:tc>
          <w:tcPr>
            <w:tcW w:type="dxa" w:w="3500"/>
            <w:shd w:fill="F2F2F2" w:val="clear"/>
            <w:tcMar>
              <w:top w:type="dxa" w:w="80"/>
              <w:left w:type="dxa" w:w="120"/>
              <w:bottom w:type="dxa" w:w="80"/>
              <w:right w:type="dxa" w:w="120"/>
            </w:tcMar>
          </w:tcPr>
          <w:p>
            <w:r>
              <w:t xml:space="preserve">Nova-3 Medical model</w:t>
            </w:r>
          </w:p>
        </w:tc>
      </w:tr>
      <w:tr>
        <w:tc>
          <w:tcPr>
            <w:tcW w:type="dxa" w:w="2000"/>
            <w:shd w:fill="F2F2F2" w:val="clear"/>
            <w:tcMar>
              <w:top w:type="dxa" w:w="80"/>
              <w:left w:type="dxa" w:w="120"/>
              <w:bottom w:type="dxa" w:w="80"/>
              <w:right w:type="dxa" w:w="120"/>
            </w:tcMar>
          </w:tcPr>
          <w:p>
            <w:r>
              <w:t xml:space="preserve">Browser Support</w:t>
            </w:r>
          </w:p>
        </w:tc>
        <w:tc>
          <w:tcPr>
            <w:tcW w:type="dxa" w:w="3500"/>
            <w:shd w:fill="F2F2F2" w:val="clear"/>
            <w:tcMar>
              <w:top w:type="dxa" w:w="80"/>
              <w:left w:type="dxa" w:w="120"/>
              <w:bottom w:type="dxa" w:w="80"/>
              <w:right w:type="dxa" w:w="120"/>
            </w:tcMar>
          </w:tcPr>
          <w:p>
            <w:r>
              <w:t xml:space="preserve">Chrome/Chromium only</w:t>
            </w:r>
          </w:p>
        </w:tc>
        <w:tc>
          <w:tcPr>
            <w:tcW w:type="dxa" w:w="3500"/>
            <w:shd w:fill="F2F2F2" w:val="clear"/>
            <w:tcMar>
              <w:top w:type="dxa" w:w="80"/>
              <w:left w:type="dxa" w:w="120"/>
              <w:bottom w:type="dxa" w:w="80"/>
              <w:right w:type="dxa" w:w="120"/>
            </w:tcMar>
          </w:tcPr>
          <w:p>
            <w:r>
              <w:t xml:space="preserve">All browsers (server-side)</w:t>
            </w:r>
          </w:p>
        </w:tc>
      </w:tr>
      <w:tr>
        <w:tc>
          <w:tcPr>
            <w:tcW w:type="dxa" w:w="2000"/>
            <w:shd w:fill="F2F2F2" w:val="clear"/>
            <w:tcMar>
              <w:top w:type="dxa" w:w="80"/>
              <w:left w:type="dxa" w:w="120"/>
              <w:bottom w:type="dxa" w:w="80"/>
              <w:right w:type="dxa" w:w="120"/>
            </w:tcMar>
          </w:tcPr>
          <w:p>
            <w:r>
              <w:t xml:space="preserve">Offline Capability</w:t>
            </w:r>
          </w:p>
        </w:tc>
        <w:tc>
          <w:tcPr>
            <w:tcW w:type="dxa" w:w="3500"/>
            <w:shd w:fill="F2F2F2" w:val="clear"/>
            <w:tcMar>
              <w:top w:type="dxa" w:w="80"/>
              <w:left w:type="dxa" w:w="120"/>
              <w:bottom w:type="dxa" w:w="80"/>
              <w:right w:type="dxa" w:w="120"/>
            </w:tcMar>
          </w:tcPr>
          <w:p>
            <w:r>
              <w:t xml:space="preserve">Yes (with language pack)</w:t>
            </w:r>
          </w:p>
        </w:tc>
        <w:tc>
          <w:tcPr>
            <w:tcW w:type="dxa" w:w="3500"/>
            <w:shd w:fill="F2F2F2" w:val="clear"/>
            <w:tcMar>
              <w:top w:type="dxa" w:w="80"/>
              <w:left w:type="dxa" w:w="120"/>
              <w:bottom w:type="dxa" w:w="80"/>
              <w:right w:type="dxa" w:w="120"/>
            </w:tcMar>
          </w:tcPr>
          <w:p>
            <w:r>
              <w:t xml:space="preserve">No (cloud-dependent)</w:t>
            </w:r>
          </w:p>
        </w:tc>
      </w:tr>
      <w:tr>
        <w:tc>
          <w:tcPr>
            <w:tcW w:type="dxa" w:w="2000"/>
            <w:shd w:fill="F2F2F2" w:val="clear"/>
            <w:tcMar>
              <w:top w:type="dxa" w:w="80"/>
              <w:left w:type="dxa" w:w="120"/>
              <w:bottom w:type="dxa" w:w="80"/>
              <w:right w:type="dxa" w:w="120"/>
            </w:tcMar>
          </w:tcPr>
          <w:p>
            <w:r>
              <w:t xml:space="preserve">Integration Time</w:t>
            </w:r>
          </w:p>
        </w:tc>
        <w:tc>
          <w:tcPr>
            <w:tcW w:type="dxa" w:w="3500"/>
            <w:shd w:fill="F2F2F2" w:val="clear"/>
            <w:tcMar>
              <w:top w:type="dxa" w:w="80"/>
              <w:left w:type="dxa" w:w="120"/>
              <w:bottom w:type="dxa" w:w="80"/>
              <w:right w:type="dxa" w:w="120"/>
            </w:tcMar>
          </w:tcPr>
          <w:p>
            <w:r>
              <w:t xml:space="preserve">Already built</w:t>
            </w:r>
          </w:p>
        </w:tc>
        <w:tc>
          <w:tcPr>
            <w:tcW w:type="dxa" w:w="3500"/>
            <w:shd w:fill="F2F2F2" w:val="clear"/>
            <w:tcMar>
              <w:top w:type="dxa" w:w="80"/>
              <w:left w:type="dxa" w:w="120"/>
              <w:bottom w:type="dxa" w:w="80"/>
              <w:right w:type="dxa" w:w="120"/>
            </w:tcMar>
          </w:tcPr>
          <w:p>
            <w:r>
              <w:t xml:space="preserve">4–5 days</w:t>
            </w:r>
          </w:p>
        </w:tc>
      </w:tr>
    </w:tbl>
    <w:p>
      <w:pPr>
        <w:spacing w:after="100"/>
      </w:pPr>
    </w:p>
    <w:p>
      <w:pPr>
        <w:pStyle w:val="Heading2"/>
        <w:pStyle w:val="Heading2"/>
        <w:spacing w:before="200" w:after="100"/>
      </w:pPr>
      <w:r>
        <w:t xml:space="preserve">Analysis &amp; Recommendation</w:t>
      </w:r>
    </w:p>
    <w:p>
      <w:pPr>
        <w:spacing w:after="100"/>
      </w:pPr>
      <w:r>
        <w:t xml:space="preserve">Use Web Speech API for MVP. It is free, already integrated, and sufficient for preceptor use. Preceptors speak conversational Korean, not formal medical dictation. The API handles conversational Korean well (85–90% accuracy) because:</w:t>
      </w:r>
    </w:p>
    <w:p>
      <w:pPr>
        <w:pStyle w:val="ListParagraph"/>
        <w:numPr>
          <w:ilvl w:val="0"/>
          <w:numId w:val="1"/>
        </w:numPr>
        <w:spacing w:after="80"/>
      </w:pPr>
      <w:r>
        <w:t xml:space="preserve">The AI transform pipeline can fill gaps and correct minor transcription errors from context.</w:t>
      </w:r>
    </w:p>
    <w:p>
      <w:pPr>
        <w:pStyle w:val="ListParagraph"/>
        <w:numPr>
          <w:ilvl w:val="0"/>
          <w:numId w:val="1"/>
        </w:numPr>
        <w:spacing w:after="80"/>
      </w:pPr>
      <w:r>
        <w:t xml:space="preserve">Preceptors review output before finalizing; they catch major mistakes and can re-record.</w:t>
      </w:r>
    </w:p>
    <w:p>
      <w:pPr>
        <w:pStyle w:val="ListParagraph"/>
        <w:numPr>
          <w:ilvl w:val="0"/>
          <w:numId w:val="1"/>
        </w:numPr>
        <w:spacing w:after="80"/>
      </w:pPr>
      <w:r>
        <w:t xml:space="preserve">Medical terminology is domain-specific and handled by the prompt contract, not transcription.</w:t>
      </w:r>
    </w:p>
    <w:p>
      <w:pPr>
        <w:spacing w:after="100"/>
      </w:pPr>
      <w:r>
        <w:t xml:space="preserve">Upgrade path: Move to Deepgram Nova-3 Medical when voice accuracy on specialized medical terms becomes measurable problem. Decision point: upgrade only if corrective turns exceed 10% of sessions.</w:t>
      </w:r>
    </w:p>
    <w:p>
      <w:pPr>
        <w:pageBreakBefore/>
      </w:pPr>
    </w:p>
    <w:p>
      <w:pPr>
        <w:pStyle w:val="Heading1"/>
        <w:pStyle w:val="Heading1"/>
        <w:spacing w:before="400" w:after="100"/>
      </w:pPr>
      <w:r>
        <w:t xml:space="preserve">Target Pilot Universities</w:t>
      </w:r>
    </w:p>
    <w:p>
      <w:pPr>
        <w:spacing w:after="100"/>
      </w:pPr>
      <w:r>
        <w:t xml:space="preserve">Priority-ranked list of university hospitals for pilot outreach:</w:t>
      </w:r>
    </w:p>
    <w:tbl>
      <w:tblPr>
        <w:tblW w:type="dxa" w:w="100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gridCol w:w="100"/>
        <w:gridCol w:w="100"/>
        <w:gridCol w:w="100"/>
      </w:tblGrid>
      <w:tr>
        <w:tc>
          <w:tcPr>
            <w:tcW w:type="dxa" w:w="1400"/>
            <w:shd w:fill="1F3A5F" w:color="FFFFFF" w:val="clear"/>
            <w:tcMar>
              <w:top w:type="dxa" w:w="80"/>
              <w:left w:type="dxa" w:w="120"/>
              <w:bottom w:type="dxa" w:w="80"/>
              <w:right w:type="dxa" w:w="120"/>
            </w:tcMar>
          </w:tcPr>
          <w:p>
            <w:r>
              <w:t xml:space="preserve">University (Korean)</w:t>
            </w:r>
          </w:p>
        </w:tc>
        <w:tc>
          <w:tcPr>
            <w:tcW w:type="dxa" w:w="1400"/>
            <w:shd w:fill="1F3A5F" w:color="FFFFFF" w:val="clear"/>
            <w:tcMar>
              <w:top w:type="dxa" w:w="80"/>
              <w:left w:type="dxa" w:w="120"/>
              <w:bottom w:type="dxa" w:w="80"/>
              <w:right w:type="dxa" w:w="120"/>
            </w:tcMar>
          </w:tcPr>
          <w:p>
            <w:r>
              <w:t xml:space="preserve">University (English)</w:t>
            </w:r>
          </w:p>
        </w:tc>
        <w:tc>
          <w:tcPr>
            <w:tcW w:type="dxa" w:w="2000"/>
            <w:shd w:fill="1F3A5F" w:color="FFFFFF" w:val="clear"/>
            <w:tcMar>
              <w:top w:type="dxa" w:w="80"/>
              <w:left w:type="dxa" w:w="120"/>
              <w:bottom w:type="dxa" w:w="80"/>
              <w:right w:type="dxa" w:w="120"/>
            </w:tcMar>
          </w:tcPr>
          <w:p>
            <w:r>
              <w:t xml:space="preserve">Affiliated Hospital(s)</w:t>
            </w:r>
          </w:p>
        </w:tc>
        <w:tc>
          <w:tcPr>
            <w:tcW w:type="dxa" w:w="800"/>
            <w:shd w:fill="1F3A5F" w:color="FFFFFF" w:val="clear"/>
            <w:tcMar>
              <w:top w:type="dxa" w:w="80"/>
              <w:left w:type="dxa" w:w="120"/>
              <w:bottom w:type="dxa" w:w="80"/>
              <w:right w:type="dxa" w:w="120"/>
            </w:tcMar>
          </w:tcPr>
          <w:p>
            <w:r>
              <w:t xml:space="preserve">City</w:t>
            </w:r>
          </w:p>
        </w:tc>
        <w:tc>
          <w:tcPr>
            <w:tcW w:type="dxa" w:w="1600"/>
            <w:shd w:fill="1F3A5F" w:color="FFFFFF" w:val="clear"/>
            <w:tcMar>
              <w:top w:type="dxa" w:w="80"/>
              <w:left w:type="dxa" w:w="120"/>
              <w:bottom w:type="dxa" w:w="80"/>
              <w:right w:type="dxa" w:w="120"/>
            </w:tcMar>
          </w:tcPr>
          <w:p>
            <w:r>
              <w:t xml:space="preserve">Research Focus</w:t>
            </w:r>
          </w:p>
        </w:tc>
        <w:tc>
          <w:tcPr>
            <w:tcW w:type="dxa" w:w="1000"/>
            <w:shd w:fill="1F3A5F" w:color="FFFFFF" w:val="clear"/>
            <w:tcMar>
              <w:top w:type="dxa" w:w="80"/>
              <w:left w:type="dxa" w:w="120"/>
              <w:bottom w:type="dxa" w:w="80"/>
              <w:right w:type="dxa" w:w="120"/>
            </w:tcMar>
          </w:tcPr>
          <w:p>
            <w:r>
              <w:t xml:space="preserve">Priority</w:t>
            </w:r>
          </w:p>
        </w:tc>
        <w:tc>
          <w:tcPr>
            <w:tcW w:type="dxa" w:w="1800"/>
            <w:shd w:fill="1F3A5F" w:color="FFFFFF" w:val="clear"/>
            <w:tcMar>
              <w:top w:type="dxa" w:w="80"/>
              <w:left w:type="dxa" w:w="120"/>
              <w:bottom w:type="dxa" w:w="80"/>
              <w:right w:type="dxa" w:w="120"/>
            </w:tcMar>
          </w:tcPr>
          <w:p>
            <w:r>
              <w:t xml:space="preserve">Notes</w:t>
            </w:r>
          </w:p>
        </w:tc>
      </w:tr>
      <w:tr>
        <w:tc>
          <w:tcPr>
            <w:tcW w:type="dxa" w:w="1400"/>
            <w:shd w:fill="F2F2F2" w:val="clear"/>
            <w:tcMar>
              <w:top w:type="dxa" w:w="80"/>
              <w:left w:type="dxa" w:w="120"/>
              <w:bottom w:type="dxa" w:w="80"/>
              <w:right w:type="dxa" w:w="120"/>
            </w:tcMar>
          </w:tcPr>
          <w:p>
            <w:r>
              <w:t xml:space="preserve">가톨릭대학교</w:t>
            </w:r>
          </w:p>
        </w:tc>
        <w:tc>
          <w:tcPr>
            <w:tcW w:type="dxa" w:w="1400"/>
            <w:shd w:fill="F2F2F2" w:val="clear"/>
            <w:tcMar>
              <w:top w:type="dxa" w:w="80"/>
              <w:left w:type="dxa" w:w="120"/>
              <w:bottom w:type="dxa" w:w="80"/>
              <w:right w:type="dxa" w:w="120"/>
            </w:tcMar>
          </w:tcPr>
          <w:p>
            <w:r>
              <w:t xml:space="preserve">Catholic University</w:t>
            </w:r>
          </w:p>
        </w:tc>
        <w:tc>
          <w:tcPr>
            <w:tcW w:type="dxa" w:w="2000"/>
            <w:shd w:fill="F2F2F2" w:val="clear"/>
            <w:tcMar>
              <w:top w:type="dxa" w:w="80"/>
              <w:left w:type="dxa" w:w="120"/>
              <w:bottom w:type="dxa" w:w="80"/>
              <w:right w:type="dxa" w:w="120"/>
            </w:tcMar>
          </w:tcPr>
          <w:p>
            <w:r>
              <w:t xml:space="preserve">Seoul St. Mary's + 7 hospitals</w:t>
            </w:r>
          </w:p>
        </w:tc>
        <w:tc>
          <w:tcPr>
            <w:tcW w:type="dxa" w:w="800"/>
            <w:shd w:fill="F2F2F2" w:val="clear"/>
            <w:tcMar>
              <w:top w:type="dxa" w:w="80"/>
              <w:left w:type="dxa" w:w="120"/>
              <w:bottom w:type="dxa" w:w="80"/>
              <w:right w:type="dxa" w:w="120"/>
            </w:tcMar>
          </w:tcPr>
          <w:p>
            <w:r>
              <w:t xml:space="preserve">Seoul</w:t>
            </w:r>
          </w:p>
        </w:tc>
        <w:tc>
          <w:tcPr>
            <w:tcW w:type="dxa" w:w="1600"/>
            <w:shd w:fill="F2F2F2" w:val="clear"/>
            <w:tcMar>
              <w:top w:type="dxa" w:w="80"/>
              <w:left w:type="dxa" w:w="120"/>
              <w:bottom w:type="dxa" w:w="80"/>
              <w:right w:type="dxa" w:w="120"/>
            </w:tcMar>
          </w:tcPr>
          <w:p>
            <w:r>
              <w:t xml:space="preserve">Preceptorship research</w:t>
            </w:r>
          </w:p>
        </w:tc>
        <w:tc>
          <w:tcPr>
            <w:tcW w:type="dxa" w:w="1000"/>
            <w:shd w:fill="F2F2F2" w:val="clear"/>
            <w:tcMar>
              <w:top w:type="dxa" w:w="80"/>
              <w:left w:type="dxa" w:w="120"/>
              <w:bottom w:type="dxa" w:w="80"/>
              <w:right w:type="dxa" w:w="120"/>
            </w:tcMar>
          </w:tcPr>
          <w:p>
            <w:r>
              <w:t xml:space="preserve">Priority A</w:t>
            </w:r>
          </w:p>
        </w:tc>
        <w:tc>
          <w:tcPr>
            <w:tcW w:type="dxa" w:w="1800"/>
            <w:shd w:fill="F2F2F2" w:val="clear"/>
            <w:tcMar>
              <w:top w:type="dxa" w:w="80"/>
              <w:left w:type="dxa" w:w="120"/>
              <w:bottom w:type="dxa" w:w="80"/>
              <w:right w:type="dxa" w:w="120"/>
            </w:tcMar>
          </w:tcPr>
          <w:p>
            <w:r>
              <w:t xml:space="preserve">6,400 beds; explicit preceptorship research</w:t>
            </w:r>
          </w:p>
        </w:tc>
      </w:tr>
      <w:tr>
        <w:tc>
          <w:tcPr>
            <w:tcW w:type="dxa" w:w="1400"/>
            <w:shd w:fill="F2F2F2" w:val="clear"/>
            <w:tcMar>
              <w:top w:type="dxa" w:w="80"/>
              <w:left w:type="dxa" w:w="120"/>
              <w:bottom w:type="dxa" w:w="80"/>
              <w:right w:type="dxa" w:w="120"/>
            </w:tcMar>
          </w:tcPr>
          <w:p>
            <w:r>
              <w:t xml:space="preserve">서울대학교</w:t>
            </w:r>
          </w:p>
        </w:tc>
        <w:tc>
          <w:tcPr>
            <w:tcW w:type="dxa" w:w="1400"/>
            <w:shd w:fill="F2F2F2" w:val="clear"/>
            <w:tcMar>
              <w:top w:type="dxa" w:w="80"/>
              <w:left w:type="dxa" w:w="120"/>
              <w:bottom w:type="dxa" w:w="80"/>
              <w:right w:type="dxa" w:w="120"/>
            </w:tcMar>
          </w:tcPr>
          <w:p>
            <w:r>
              <w:t xml:space="preserve">Seoul National Univ.</w:t>
            </w:r>
          </w:p>
        </w:tc>
        <w:tc>
          <w:tcPr>
            <w:tcW w:type="dxa" w:w="2000"/>
            <w:shd w:fill="F2F2F2" w:val="clear"/>
            <w:tcMar>
              <w:top w:type="dxa" w:w="80"/>
              <w:left w:type="dxa" w:w="120"/>
              <w:bottom w:type="dxa" w:w="80"/>
              <w:right w:type="dxa" w:w="120"/>
            </w:tcMar>
          </w:tcPr>
          <w:p>
            <w:r>
              <w:t xml:space="preserve">SNU Hospital + Bundang</w:t>
            </w:r>
          </w:p>
        </w:tc>
        <w:tc>
          <w:tcPr>
            <w:tcW w:type="dxa" w:w="800"/>
            <w:shd w:fill="F2F2F2" w:val="clear"/>
            <w:tcMar>
              <w:top w:type="dxa" w:w="80"/>
              <w:left w:type="dxa" w:w="120"/>
              <w:bottom w:type="dxa" w:w="80"/>
              <w:right w:type="dxa" w:w="120"/>
            </w:tcMar>
          </w:tcPr>
          <w:p>
            <w:r>
              <w:t xml:space="preserve">Seoul</w:t>
            </w:r>
          </w:p>
        </w:tc>
        <w:tc>
          <w:tcPr>
            <w:tcW w:type="dxa" w:w="1600"/>
            <w:shd w:fill="F2F2F2" w:val="clear"/>
            <w:tcMar>
              <w:top w:type="dxa" w:w="80"/>
              <w:left w:type="dxa" w:w="120"/>
              <w:bottom w:type="dxa" w:w="80"/>
              <w:right w:type="dxa" w:w="120"/>
            </w:tcMar>
          </w:tcPr>
          <w:p>
            <w:r>
              <w:t xml:space="preserve">Preceptor training models</w:t>
            </w:r>
          </w:p>
        </w:tc>
        <w:tc>
          <w:tcPr>
            <w:tcW w:type="dxa" w:w="1000"/>
            <w:shd w:fill="F2F2F2" w:val="clear"/>
            <w:tcMar>
              <w:top w:type="dxa" w:w="80"/>
              <w:left w:type="dxa" w:w="120"/>
              <w:bottom w:type="dxa" w:w="80"/>
              <w:right w:type="dxa" w:w="120"/>
            </w:tcMar>
          </w:tcPr>
          <w:p>
            <w:r>
              <w:t xml:space="preserve">Priority A</w:t>
            </w:r>
          </w:p>
        </w:tc>
        <w:tc>
          <w:tcPr>
            <w:tcW w:type="dxa" w:w="1800"/>
            <w:shd w:fill="F2F2F2" w:val="clear"/>
            <w:tcMar>
              <w:top w:type="dxa" w:w="80"/>
              <w:left w:type="dxa" w:w="120"/>
              <w:bottom w:type="dxa" w:w="80"/>
              <w:right w:type="dxa" w:w="120"/>
            </w:tcMar>
          </w:tcPr>
          <w:p>
            <w:r>
              <w:t xml:space="preserve">Most prestigious; 1:1 preceptor documented</w:t>
            </w:r>
          </w:p>
        </w:tc>
      </w:tr>
      <w:tr>
        <w:tc>
          <w:tcPr>
            <w:tcW w:type="dxa" w:w="1400"/>
            <w:shd w:fill="F2F2F2" w:val="clear"/>
            <w:tcMar>
              <w:top w:type="dxa" w:w="80"/>
              <w:left w:type="dxa" w:w="120"/>
              <w:bottom w:type="dxa" w:w="80"/>
              <w:right w:type="dxa" w:w="120"/>
            </w:tcMar>
          </w:tcPr>
          <w:p>
            <w:r>
              <w:t xml:space="preserve">고려대학교</w:t>
            </w:r>
          </w:p>
        </w:tc>
        <w:tc>
          <w:tcPr>
            <w:tcW w:type="dxa" w:w="1400"/>
            <w:shd w:fill="F2F2F2" w:val="clear"/>
            <w:tcMar>
              <w:top w:type="dxa" w:w="80"/>
              <w:left w:type="dxa" w:w="120"/>
              <w:bottom w:type="dxa" w:w="80"/>
              <w:right w:type="dxa" w:w="120"/>
            </w:tcMar>
          </w:tcPr>
          <w:p>
            <w:r>
              <w:t xml:space="preserve">Korea University</w:t>
            </w:r>
          </w:p>
        </w:tc>
        <w:tc>
          <w:tcPr>
            <w:tcW w:type="dxa" w:w="2000"/>
            <w:shd w:fill="F2F2F2" w:val="clear"/>
            <w:tcMar>
              <w:top w:type="dxa" w:w="80"/>
              <w:left w:type="dxa" w:w="120"/>
              <w:bottom w:type="dxa" w:w="80"/>
              <w:right w:type="dxa" w:w="120"/>
            </w:tcMar>
          </w:tcPr>
          <w:p>
            <w:r>
              <w:t xml:space="preserve">Anam, Guro, Ansan</w:t>
            </w:r>
          </w:p>
        </w:tc>
        <w:tc>
          <w:tcPr>
            <w:tcW w:type="dxa" w:w="800"/>
            <w:shd w:fill="F2F2F2" w:val="clear"/>
            <w:tcMar>
              <w:top w:type="dxa" w:w="80"/>
              <w:left w:type="dxa" w:w="120"/>
              <w:bottom w:type="dxa" w:w="80"/>
              <w:right w:type="dxa" w:w="120"/>
            </w:tcMar>
          </w:tcPr>
          <w:p>
            <w:r>
              <w:t xml:space="preserve">Seoul</w:t>
            </w:r>
          </w:p>
        </w:tc>
        <w:tc>
          <w:tcPr>
            <w:tcW w:type="dxa" w:w="1600"/>
            <w:shd w:fill="F2F2F2" w:val="clear"/>
            <w:tcMar>
              <w:top w:type="dxa" w:w="80"/>
              <w:left w:type="dxa" w:w="120"/>
              <w:bottom w:type="dxa" w:w="80"/>
              <w:right w:type="dxa" w:w="120"/>
            </w:tcMar>
          </w:tcPr>
          <w:p>
            <w:r>
              <w:t xml:space="preserve">Competency-based evaluation</w:t>
            </w:r>
          </w:p>
        </w:tc>
        <w:tc>
          <w:tcPr>
            <w:tcW w:type="dxa" w:w="1000"/>
            <w:shd w:fill="F2F2F2" w:val="clear"/>
            <w:tcMar>
              <w:top w:type="dxa" w:w="80"/>
              <w:left w:type="dxa" w:w="120"/>
              <w:bottom w:type="dxa" w:w="80"/>
              <w:right w:type="dxa" w:w="120"/>
            </w:tcMar>
          </w:tcPr>
          <w:p>
            <w:r>
              <w:t xml:space="preserve">Priority A</w:t>
            </w:r>
          </w:p>
        </w:tc>
        <w:tc>
          <w:tcPr>
            <w:tcW w:type="dxa" w:w="1800"/>
            <w:shd w:fill="F2F2F2" w:val="clear"/>
            <w:tcMar>
              <w:top w:type="dxa" w:w="80"/>
              <w:left w:type="dxa" w:w="120"/>
              <w:bottom w:type="dxa" w:w="80"/>
              <w:right w:type="dxa" w:w="120"/>
            </w:tcMar>
          </w:tcPr>
          <w:p>
            <w:r>
              <w:t xml:space="preserve">Three-hospital system; strong research</w:t>
            </w:r>
          </w:p>
        </w:tc>
      </w:tr>
      <w:tr>
        <w:tc>
          <w:tcPr>
            <w:tcW w:type="dxa" w:w="1400"/>
            <w:shd w:fill="F2F2F2" w:val="clear"/>
            <w:tcMar>
              <w:top w:type="dxa" w:w="80"/>
              <w:left w:type="dxa" w:w="120"/>
              <w:bottom w:type="dxa" w:w="80"/>
              <w:right w:type="dxa" w:w="120"/>
            </w:tcMar>
          </w:tcPr>
          <w:p>
            <w:r>
              <w:t xml:space="preserve">아주대학교</w:t>
            </w:r>
          </w:p>
        </w:tc>
        <w:tc>
          <w:tcPr>
            <w:tcW w:type="dxa" w:w="1400"/>
            <w:shd w:fill="F2F2F2" w:val="clear"/>
            <w:tcMar>
              <w:top w:type="dxa" w:w="80"/>
              <w:left w:type="dxa" w:w="120"/>
              <w:bottom w:type="dxa" w:w="80"/>
              <w:right w:type="dxa" w:w="120"/>
            </w:tcMar>
          </w:tcPr>
          <w:p>
            <w:r>
              <w:t xml:space="preserve">Ajou University</w:t>
            </w:r>
          </w:p>
        </w:tc>
        <w:tc>
          <w:tcPr>
            <w:tcW w:type="dxa" w:w="2000"/>
            <w:shd w:fill="F2F2F2" w:val="clear"/>
            <w:tcMar>
              <w:top w:type="dxa" w:w="80"/>
              <w:left w:type="dxa" w:w="120"/>
              <w:bottom w:type="dxa" w:w="80"/>
              <w:right w:type="dxa" w:w="120"/>
            </w:tcMar>
          </w:tcPr>
          <w:p>
            <w:r>
              <w:t xml:space="preserve">Ajou University Hospital</w:t>
            </w:r>
          </w:p>
        </w:tc>
        <w:tc>
          <w:tcPr>
            <w:tcW w:type="dxa" w:w="800"/>
            <w:shd w:fill="F2F2F2" w:val="clear"/>
            <w:tcMar>
              <w:top w:type="dxa" w:w="80"/>
              <w:left w:type="dxa" w:w="120"/>
              <w:bottom w:type="dxa" w:w="80"/>
              <w:right w:type="dxa" w:w="120"/>
            </w:tcMar>
          </w:tcPr>
          <w:p>
            <w:r>
              <w:t xml:space="preserve">Suwon</w:t>
            </w:r>
          </w:p>
        </w:tc>
        <w:tc>
          <w:tcPr>
            <w:tcW w:type="dxa" w:w="1600"/>
            <w:shd w:fill="F2F2F2" w:val="clear"/>
            <w:tcMar>
              <w:top w:type="dxa" w:w="80"/>
              <w:left w:type="dxa" w:w="120"/>
              <w:bottom w:type="dxa" w:w="80"/>
              <w:right w:type="dxa" w:w="120"/>
            </w:tcMar>
          </w:tcPr>
          <w:p>
            <w:r>
              <w:t xml:space="preserve">Clinical competency (n=224)</w:t>
            </w:r>
          </w:p>
        </w:tc>
        <w:tc>
          <w:tcPr>
            <w:tcW w:type="dxa" w:w="1000"/>
            <w:shd w:fill="F2F2F2" w:val="clear"/>
            <w:tcMar>
              <w:top w:type="dxa" w:w="80"/>
              <w:left w:type="dxa" w:w="120"/>
              <w:bottom w:type="dxa" w:w="80"/>
              <w:right w:type="dxa" w:w="120"/>
            </w:tcMar>
          </w:tcPr>
          <w:p>
            <w:r>
              <w:t xml:space="preserve">Priority A</w:t>
            </w:r>
          </w:p>
        </w:tc>
        <w:tc>
          <w:tcPr>
            <w:tcW w:type="dxa" w:w="1800"/>
            <w:shd w:fill="F2F2F2" w:val="clear"/>
            <w:tcMar>
              <w:top w:type="dxa" w:w="80"/>
              <w:left w:type="dxa" w:w="120"/>
              <w:bottom w:type="dxa" w:w="80"/>
              <w:right w:type="dxa" w:w="120"/>
            </w:tcMar>
          </w:tcPr>
          <w:p>
            <w:r>
              <w:t xml:space="preserve">Modern research; UCLA partnership</w:t>
            </w:r>
          </w:p>
        </w:tc>
      </w:tr>
      <w:tr>
        <w:tc>
          <w:tcPr>
            <w:tcW w:type="dxa" w:w="1400"/>
            <w:shd w:fill="F2F2F2" w:val="clear"/>
            <w:tcMar>
              <w:top w:type="dxa" w:w="80"/>
              <w:left w:type="dxa" w:w="120"/>
              <w:bottom w:type="dxa" w:w="80"/>
              <w:right w:type="dxa" w:w="120"/>
            </w:tcMar>
          </w:tcPr>
          <w:p>
            <w:r>
              <w:t xml:space="preserve">연세대학교</w:t>
            </w:r>
          </w:p>
        </w:tc>
        <w:tc>
          <w:tcPr>
            <w:tcW w:type="dxa" w:w="1400"/>
            <w:shd w:fill="F2F2F2" w:val="clear"/>
            <w:tcMar>
              <w:top w:type="dxa" w:w="80"/>
              <w:left w:type="dxa" w:w="120"/>
              <w:bottom w:type="dxa" w:w="80"/>
              <w:right w:type="dxa" w:w="120"/>
            </w:tcMar>
          </w:tcPr>
          <w:p>
            <w:r>
              <w:t xml:space="preserve">Yonsei University</w:t>
            </w:r>
          </w:p>
        </w:tc>
        <w:tc>
          <w:tcPr>
            <w:tcW w:type="dxa" w:w="2000"/>
            <w:shd w:fill="F2F2F2" w:val="clear"/>
            <w:tcMar>
              <w:top w:type="dxa" w:w="80"/>
              <w:left w:type="dxa" w:w="120"/>
              <w:bottom w:type="dxa" w:w="80"/>
              <w:right w:type="dxa" w:w="120"/>
            </w:tcMar>
          </w:tcPr>
          <w:p>
            <w:r>
              <w:t xml:space="preserve">Severance Hospital</w:t>
            </w:r>
          </w:p>
        </w:tc>
        <w:tc>
          <w:tcPr>
            <w:tcW w:type="dxa" w:w="800"/>
            <w:shd w:fill="F2F2F2" w:val="clear"/>
            <w:tcMar>
              <w:top w:type="dxa" w:w="80"/>
              <w:left w:type="dxa" w:w="120"/>
              <w:bottom w:type="dxa" w:w="80"/>
              <w:right w:type="dxa" w:w="120"/>
            </w:tcMar>
          </w:tcPr>
          <w:p>
            <w:r>
              <w:t xml:space="preserve">Seoul</w:t>
            </w:r>
          </w:p>
        </w:tc>
        <w:tc>
          <w:tcPr>
            <w:tcW w:type="dxa" w:w="1600"/>
            <w:shd w:fill="F2F2F2" w:val="clear"/>
            <w:tcMar>
              <w:top w:type="dxa" w:w="80"/>
              <w:left w:type="dxa" w:w="120"/>
              <w:bottom w:type="dxa" w:w="80"/>
              <w:right w:type="dxa" w:w="120"/>
            </w:tcMar>
          </w:tcPr>
          <w:p>
            <w:r>
              <w:t xml:space="preserve">100+ year nursing; new grad school</w:t>
            </w:r>
          </w:p>
        </w:tc>
        <w:tc>
          <w:tcPr>
            <w:tcW w:type="dxa" w:w="1000"/>
            <w:shd w:fill="F2F2F2" w:val="clear"/>
            <w:tcMar>
              <w:top w:type="dxa" w:w="80"/>
              <w:left w:type="dxa" w:w="120"/>
              <w:bottom w:type="dxa" w:w="80"/>
              <w:right w:type="dxa" w:w="120"/>
            </w:tcMar>
          </w:tcPr>
          <w:p>
            <w:r>
              <w:t xml:space="preserve">Priority B</w:t>
            </w:r>
          </w:p>
        </w:tc>
        <w:tc>
          <w:tcPr>
            <w:tcW w:type="dxa" w:w="1800"/>
            <w:shd w:fill="F2F2F2" w:val="clear"/>
            <w:tcMar>
              <w:top w:type="dxa" w:w="80"/>
              <w:left w:type="dxa" w:w="120"/>
              <w:bottom w:type="dxa" w:w="80"/>
              <w:right w:type="dxa" w:w="120"/>
            </w:tcMar>
          </w:tcPr>
          <w:p>
            <w:r>
              <w:t xml:space="preserve">Historic prestige; timing opportunity</w:t>
            </w:r>
          </w:p>
        </w:tc>
      </w:tr>
      <w:tr>
        <w:tc>
          <w:tcPr>
            <w:tcW w:type="dxa" w:w="1400"/>
            <w:shd w:fill="F2F2F2" w:val="clear"/>
            <w:tcMar>
              <w:top w:type="dxa" w:w="80"/>
              <w:left w:type="dxa" w:w="120"/>
              <w:bottom w:type="dxa" w:w="80"/>
              <w:right w:type="dxa" w:w="120"/>
            </w:tcMar>
          </w:tcPr>
          <w:p>
            <w:r>
              <w:t xml:space="preserve">경희대학교</w:t>
            </w:r>
          </w:p>
        </w:tc>
        <w:tc>
          <w:tcPr>
            <w:tcW w:type="dxa" w:w="1400"/>
            <w:shd w:fill="F2F2F2" w:val="clear"/>
            <w:tcMar>
              <w:top w:type="dxa" w:w="80"/>
              <w:left w:type="dxa" w:w="120"/>
              <w:bottom w:type="dxa" w:w="80"/>
              <w:right w:type="dxa" w:w="120"/>
            </w:tcMar>
          </w:tcPr>
          <w:p>
            <w:r>
              <w:t xml:space="preserve">Kyung Hee University</w:t>
            </w:r>
          </w:p>
        </w:tc>
        <w:tc>
          <w:tcPr>
            <w:tcW w:type="dxa" w:w="2000"/>
            <w:shd w:fill="F2F2F2" w:val="clear"/>
            <w:tcMar>
              <w:top w:type="dxa" w:w="80"/>
              <w:left w:type="dxa" w:w="120"/>
              <w:bottom w:type="dxa" w:w="80"/>
              <w:right w:type="dxa" w:w="120"/>
            </w:tcMar>
          </w:tcPr>
          <w:p>
            <w:r>
              <w:t xml:space="preserve">Kyung Hee Hospital</w:t>
            </w:r>
          </w:p>
        </w:tc>
        <w:tc>
          <w:tcPr>
            <w:tcW w:type="dxa" w:w="800"/>
            <w:shd w:fill="F2F2F2" w:val="clear"/>
            <w:tcMar>
              <w:top w:type="dxa" w:w="80"/>
              <w:left w:type="dxa" w:w="120"/>
              <w:bottom w:type="dxa" w:w="80"/>
              <w:right w:type="dxa" w:w="120"/>
            </w:tcMar>
          </w:tcPr>
          <w:p>
            <w:r>
              <w:t xml:space="preserve">Seoul</w:t>
            </w:r>
          </w:p>
        </w:tc>
        <w:tc>
          <w:tcPr>
            <w:tcW w:type="dxa" w:w="1600"/>
            <w:shd w:fill="F2F2F2" w:val="clear"/>
            <w:tcMar>
              <w:top w:type="dxa" w:w="80"/>
              <w:left w:type="dxa" w:w="120"/>
              <w:bottom w:type="dxa" w:w="80"/>
              <w:right w:type="dxa" w:w="120"/>
            </w:tcMar>
          </w:tcPr>
          <w:p>
            <w:r>
              <w:t xml:space="preserve">Certified Research Hospital 2025–2028</w:t>
            </w:r>
          </w:p>
        </w:tc>
        <w:tc>
          <w:tcPr>
            <w:tcW w:type="dxa" w:w="1000"/>
            <w:shd w:fill="F2F2F2" w:val="clear"/>
            <w:tcMar>
              <w:top w:type="dxa" w:w="80"/>
              <w:left w:type="dxa" w:w="120"/>
              <w:bottom w:type="dxa" w:w="80"/>
              <w:right w:type="dxa" w:w="120"/>
            </w:tcMar>
          </w:tcPr>
          <w:p>
            <w:r>
              <w:t xml:space="preserve">Priority B</w:t>
            </w:r>
          </w:p>
        </w:tc>
        <w:tc>
          <w:tcPr>
            <w:tcW w:type="dxa" w:w="1800"/>
            <w:shd w:fill="F2F2F2" w:val="clear"/>
            <w:tcMar>
              <w:top w:type="dxa" w:w="80"/>
              <w:left w:type="dxa" w:w="120"/>
              <w:bottom w:type="dxa" w:w="80"/>
              <w:right w:type="dxa" w:w="120"/>
            </w:tcMar>
          </w:tcPr>
          <w:p>
            <w:r>
              <w:t xml:space="preserve">Government-certified; unique Korean Medicine</w:t>
            </w:r>
          </w:p>
        </w:tc>
      </w:tr>
      <w:tr>
        <w:tc>
          <w:tcPr>
            <w:tcW w:type="dxa" w:w="1400"/>
            <w:shd w:fill="F2F2F2" w:val="clear"/>
            <w:tcMar>
              <w:top w:type="dxa" w:w="80"/>
              <w:left w:type="dxa" w:w="120"/>
              <w:bottom w:type="dxa" w:w="80"/>
              <w:right w:type="dxa" w:w="120"/>
            </w:tcMar>
          </w:tcPr>
          <w:p>
            <w:r>
              <w:t xml:space="preserve">한양대학교</w:t>
            </w:r>
          </w:p>
        </w:tc>
        <w:tc>
          <w:tcPr>
            <w:tcW w:type="dxa" w:w="1400"/>
            <w:shd w:fill="F2F2F2" w:val="clear"/>
            <w:tcMar>
              <w:top w:type="dxa" w:w="80"/>
              <w:left w:type="dxa" w:w="120"/>
              <w:bottom w:type="dxa" w:w="80"/>
              <w:right w:type="dxa" w:w="120"/>
            </w:tcMar>
          </w:tcPr>
          <w:p>
            <w:r>
              <w:t xml:space="preserve">Hanyang University</w:t>
            </w:r>
          </w:p>
        </w:tc>
        <w:tc>
          <w:tcPr>
            <w:tcW w:type="dxa" w:w="2000"/>
            <w:shd w:fill="F2F2F2" w:val="clear"/>
            <w:tcMar>
              <w:top w:type="dxa" w:w="80"/>
              <w:left w:type="dxa" w:w="120"/>
              <w:bottom w:type="dxa" w:w="80"/>
              <w:right w:type="dxa" w:w="120"/>
            </w:tcMar>
          </w:tcPr>
          <w:p>
            <w:r>
              <w:t xml:space="preserve">Seoul Hospital</w:t>
            </w:r>
          </w:p>
        </w:tc>
        <w:tc>
          <w:tcPr>
            <w:tcW w:type="dxa" w:w="800"/>
            <w:shd w:fill="F2F2F2" w:val="clear"/>
            <w:tcMar>
              <w:top w:type="dxa" w:w="80"/>
              <w:left w:type="dxa" w:w="120"/>
              <w:bottom w:type="dxa" w:w="80"/>
              <w:right w:type="dxa" w:w="120"/>
            </w:tcMar>
          </w:tcPr>
          <w:p>
            <w:r>
              <w:t xml:space="preserve">Seoul</w:t>
            </w:r>
          </w:p>
        </w:tc>
        <w:tc>
          <w:tcPr>
            <w:tcW w:type="dxa" w:w="1600"/>
            <w:shd w:fill="F2F2F2" w:val="clear"/>
            <w:tcMar>
              <w:top w:type="dxa" w:w="80"/>
              <w:left w:type="dxa" w:w="120"/>
              <w:bottom w:type="dxa" w:w="80"/>
              <w:right w:type="dxa" w:w="120"/>
            </w:tcMar>
          </w:tcPr>
          <w:p>
            <w:r>
              <w:t xml:space="preserve">Modern nursing education</w:t>
            </w:r>
          </w:p>
        </w:tc>
        <w:tc>
          <w:tcPr>
            <w:tcW w:type="dxa" w:w="1000"/>
            <w:shd w:fill="F2F2F2" w:val="clear"/>
            <w:tcMar>
              <w:top w:type="dxa" w:w="80"/>
              <w:left w:type="dxa" w:w="120"/>
              <w:bottom w:type="dxa" w:w="80"/>
              <w:right w:type="dxa" w:w="120"/>
            </w:tcMar>
          </w:tcPr>
          <w:p>
            <w:r>
              <w:t xml:space="preserve">Priority B</w:t>
            </w:r>
          </w:p>
        </w:tc>
        <w:tc>
          <w:tcPr>
            <w:tcW w:type="dxa" w:w="1800"/>
            <w:shd w:fill="F2F2F2" w:val="clear"/>
            <w:tcMar>
              <w:top w:type="dxa" w:w="80"/>
              <w:left w:type="dxa" w:w="120"/>
              <w:bottom w:type="dxa" w:w="80"/>
              <w:right w:type="dxa" w:w="120"/>
            </w:tcMar>
          </w:tcPr>
          <w:p>
            <w:r>
              <w:t xml:space="preserve">Recently reorganized; innovation-focused</w:t>
            </w:r>
          </w:p>
        </w:tc>
      </w:tr>
      <w:tr>
        <w:tc>
          <w:tcPr>
            <w:tcW w:type="dxa" w:w="1400"/>
            <w:shd w:fill="F2F2F2" w:val="clear"/>
            <w:tcMar>
              <w:top w:type="dxa" w:w="80"/>
              <w:left w:type="dxa" w:w="120"/>
              <w:bottom w:type="dxa" w:w="80"/>
              <w:right w:type="dxa" w:w="120"/>
            </w:tcMar>
          </w:tcPr>
          <w:p>
            <w:r>
              <w:t xml:space="preserve">강원대학교</w:t>
            </w:r>
          </w:p>
        </w:tc>
        <w:tc>
          <w:tcPr>
            <w:tcW w:type="dxa" w:w="1400"/>
            <w:shd w:fill="F2F2F2" w:val="clear"/>
            <w:tcMar>
              <w:top w:type="dxa" w:w="80"/>
              <w:left w:type="dxa" w:w="120"/>
              <w:bottom w:type="dxa" w:w="80"/>
              <w:right w:type="dxa" w:w="120"/>
            </w:tcMar>
          </w:tcPr>
          <w:p>
            <w:r>
              <w:t xml:space="preserve">Kangwon National Univ.</w:t>
            </w:r>
          </w:p>
        </w:tc>
        <w:tc>
          <w:tcPr>
            <w:tcW w:type="dxa" w:w="2000"/>
            <w:shd w:fill="F2F2F2" w:val="clear"/>
            <w:tcMar>
              <w:top w:type="dxa" w:w="80"/>
              <w:left w:type="dxa" w:w="120"/>
              <w:bottom w:type="dxa" w:w="80"/>
              <w:right w:type="dxa" w:w="120"/>
            </w:tcMar>
          </w:tcPr>
          <w:p>
            <w:r>
              <w:t xml:space="preserve">Kangwon Hospital</w:t>
            </w:r>
          </w:p>
        </w:tc>
        <w:tc>
          <w:tcPr>
            <w:tcW w:type="dxa" w:w="800"/>
            <w:shd w:fill="F2F2F2" w:val="clear"/>
            <w:tcMar>
              <w:top w:type="dxa" w:w="80"/>
              <w:left w:type="dxa" w:w="120"/>
              <w:bottom w:type="dxa" w:w="80"/>
              <w:right w:type="dxa" w:w="120"/>
            </w:tcMar>
          </w:tcPr>
          <w:p>
            <w:r>
              <w:t xml:space="preserve">Chuncheon</w:t>
            </w:r>
          </w:p>
        </w:tc>
        <w:tc>
          <w:tcPr>
            <w:tcW w:type="dxa" w:w="1600"/>
            <w:shd w:fill="F2F2F2" w:val="clear"/>
            <w:tcMar>
              <w:top w:type="dxa" w:w="80"/>
              <w:left w:type="dxa" w:w="120"/>
              <w:bottom w:type="dxa" w:w="80"/>
              <w:right w:type="dxa" w:w="120"/>
            </w:tcMar>
          </w:tcPr>
          <w:p>
            <w:r>
              <w:t xml:space="preserve">Only doctoral program in region</w:t>
            </w:r>
          </w:p>
        </w:tc>
        <w:tc>
          <w:tcPr>
            <w:tcW w:type="dxa" w:w="1000"/>
            <w:shd w:fill="F2F2F2" w:val="clear"/>
            <w:tcMar>
              <w:top w:type="dxa" w:w="80"/>
              <w:left w:type="dxa" w:w="120"/>
              <w:bottom w:type="dxa" w:w="80"/>
              <w:right w:type="dxa" w:w="120"/>
            </w:tcMar>
          </w:tcPr>
          <w:p>
            <w:r>
              <w:t xml:space="preserve">Priority C</w:t>
            </w:r>
          </w:p>
        </w:tc>
        <w:tc>
          <w:tcPr>
            <w:tcW w:type="dxa" w:w="1800"/>
            <w:shd w:fill="F2F2F2" w:val="clear"/>
            <w:tcMar>
              <w:top w:type="dxa" w:w="80"/>
              <w:left w:type="dxa" w:w="120"/>
              <w:bottom w:type="dxa" w:w="80"/>
              <w:right w:type="dxa" w:w="120"/>
            </w:tcMar>
          </w:tcPr>
          <w:p>
            <w:r>
              <w:t xml:space="preserve">Regional leader; tests scalability</w:t>
            </w:r>
          </w:p>
        </w:tc>
      </w:tr>
      <w:tr>
        <w:tc>
          <w:tcPr>
            <w:tcW w:type="dxa" w:w="1400"/>
            <w:shd w:fill="F2F2F2" w:val="clear"/>
            <w:tcMar>
              <w:top w:type="dxa" w:w="80"/>
              <w:left w:type="dxa" w:w="120"/>
              <w:bottom w:type="dxa" w:w="80"/>
              <w:right w:type="dxa" w:w="120"/>
            </w:tcMar>
          </w:tcPr>
          <w:p>
            <w:r>
              <w:t xml:space="preserve">인하대학교</w:t>
            </w:r>
          </w:p>
        </w:tc>
        <w:tc>
          <w:tcPr>
            <w:tcW w:type="dxa" w:w="1400"/>
            <w:shd w:fill="F2F2F2" w:val="clear"/>
            <w:tcMar>
              <w:top w:type="dxa" w:w="80"/>
              <w:left w:type="dxa" w:w="120"/>
              <w:bottom w:type="dxa" w:w="80"/>
              <w:right w:type="dxa" w:w="120"/>
            </w:tcMar>
          </w:tcPr>
          <w:p>
            <w:r>
              <w:t xml:space="preserve">Inha University</w:t>
            </w:r>
          </w:p>
        </w:tc>
        <w:tc>
          <w:tcPr>
            <w:tcW w:type="dxa" w:w="2000"/>
            <w:shd w:fill="F2F2F2" w:val="clear"/>
            <w:tcMar>
              <w:top w:type="dxa" w:w="80"/>
              <w:left w:type="dxa" w:w="120"/>
              <w:bottom w:type="dxa" w:w="80"/>
              <w:right w:type="dxa" w:w="120"/>
            </w:tcMar>
          </w:tcPr>
          <w:p>
            <w:r>
              <w:t xml:space="preserve">Inha Hospital</w:t>
            </w:r>
          </w:p>
        </w:tc>
        <w:tc>
          <w:tcPr>
            <w:tcW w:type="dxa" w:w="800"/>
            <w:shd w:fill="F2F2F2" w:val="clear"/>
            <w:tcMar>
              <w:top w:type="dxa" w:w="80"/>
              <w:left w:type="dxa" w:w="120"/>
              <w:bottom w:type="dxa" w:w="80"/>
              <w:right w:type="dxa" w:w="120"/>
            </w:tcMar>
          </w:tcPr>
          <w:p>
            <w:r>
              <w:t xml:space="preserve">Incheon</w:t>
            </w:r>
          </w:p>
        </w:tc>
        <w:tc>
          <w:tcPr>
            <w:tcW w:type="dxa" w:w="1600"/>
            <w:shd w:fill="F2F2F2" w:val="clear"/>
            <w:tcMar>
              <w:top w:type="dxa" w:w="80"/>
              <w:left w:type="dxa" w:w="120"/>
              <w:bottom w:type="dxa" w:w="80"/>
              <w:right w:type="dxa" w:w="120"/>
            </w:tcMar>
          </w:tcPr>
          <w:p>
            <w:r>
              <w:t xml:space="preserve">Split-schedule clinical training</w:t>
            </w:r>
          </w:p>
        </w:tc>
        <w:tc>
          <w:tcPr>
            <w:tcW w:type="dxa" w:w="1000"/>
            <w:shd w:fill="F2F2F2" w:val="clear"/>
            <w:tcMar>
              <w:top w:type="dxa" w:w="80"/>
              <w:left w:type="dxa" w:w="120"/>
              <w:bottom w:type="dxa" w:w="80"/>
              <w:right w:type="dxa" w:w="120"/>
            </w:tcMar>
          </w:tcPr>
          <w:p>
            <w:r>
              <w:t xml:space="preserve">Priority C</w:t>
            </w:r>
          </w:p>
        </w:tc>
        <w:tc>
          <w:tcPr>
            <w:tcW w:type="dxa" w:w="1800"/>
            <w:shd w:fill="F2F2F2" w:val="clear"/>
            <w:tcMar>
              <w:top w:type="dxa" w:w="80"/>
              <w:left w:type="dxa" w:w="120"/>
              <w:bottom w:type="dxa" w:w="80"/>
              <w:right w:type="dxa" w:w="120"/>
            </w:tcMar>
          </w:tcPr>
          <w:p>
            <w:r>
              <w:t xml:space="preserve">First university hospital in Incheon</w:t>
            </w:r>
          </w:p>
        </w:tc>
      </w:tr>
      <w:tr>
        <w:tc>
          <w:tcPr>
            <w:tcW w:type="dxa" w:w="1400"/>
            <w:shd w:fill="F2F2F2" w:val="clear"/>
            <w:tcMar>
              <w:top w:type="dxa" w:w="80"/>
              <w:left w:type="dxa" w:w="120"/>
              <w:bottom w:type="dxa" w:w="80"/>
              <w:right w:type="dxa" w:w="120"/>
            </w:tcMar>
          </w:tcPr>
          <w:p>
            <w:r>
              <w:t xml:space="preserve">울산대학교</w:t>
            </w:r>
          </w:p>
        </w:tc>
        <w:tc>
          <w:tcPr>
            <w:tcW w:type="dxa" w:w="1400"/>
            <w:shd w:fill="F2F2F2" w:val="clear"/>
            <w:tcMar>
              <w:top w:type="dxa" w:w="80"/>
              <w:left w:type="dxa" w:w="120"/>
              <w:bottom w:type="dxa" w:w="80"/>
              <w:right w:type="dxa" w:w="120"/>
            </w:tcMar>
          </w:tcPr>
          <w:p>
            <w:r>
              <w:t xml:space="preserve">Ulsan University</w:t>
            </w:r>
          </w:p>
        </w:tc>
        <w:tc>
          <w:tcPr>
            <w:tcW w:type="dxa" w:w="2000"/>
            <w:shd w:fill="F2F2F2" w:val="clear"/>
            <w:tcMar>
              <w:top w:type="dxa" w:w="80"/>
              <w:left w:type="dxa" w:w="120"/>
              <w:bottom w:type="dxa" w:w="80"/>
              <w:right w:type="dxa" w:w="120"/>
            </w:tcMar>
          </w:tcPr>
          <w:p>
            <w:r>
              <w:t xml:space="preserve">Asan Medical Center</w:t>
            </w:r>
          </w:p>
        </w:tc>
        <w:tc>
          <w:tcPr>
            <w:tcW w:type="dxa" w:w="800"/>
            <w:shd w:fill="F2F2F2" w:val="clear"/>
            <w:tcMar>
              <w:top w:type="dxa" w:w="80"/>
              <w:left w:type="dxa" w:w="120"/>
              <w:bottom w:type="dxa" w:w="80"/>
              <w:right w:type="dxa" w:w="120"/>
            </w:tcMar>
          </w:tcPr>
          <w:p>
            <w:r>
              <w:t xml:space="preserve">Multi-city</w:t>
            </w:r>
          </w:p>
        </w:tc>
        <w:tc>
          <w:tcPr>
            <w:tcW w:type="dxa" w:w="1600"/>
            <w:shd w:fill="F2F2F2" w:val="clear"/>
            <w:tcMar>
              <w:top w:type="dxa" w:w="80"/>
              <w:left w:type="dxa" w:w="120"/>
              <w:bottom w:type="dxa" w:w="80"/>
              <w:right w:type="dxa" w:w="120"/>
            </w:tcMar>
          </w:tcPr>
          <w:p>
            <w:r>
              <w:t xml:space="preserve">Nurse stress/resilience in COVID</w:t>
            </w:r>
          </w:p>
        </w:tc>
        <w:tc>
          <w:tcPr>
            <w:tcW w:type="dxa" w:w="1000"/>
            <w:shd w:fill="F2F2F2" w:val="clear"/>
            <w:tcMar>
              <w:top w:type="dxa" w:w="80"/>
              <w:left w:type="dxa" w:w="120"/>
              <w:bottom w:type="dxa" w:w="80"/>
              <w:right w:type="dxa" w:w="120"/>
            </w:tcMar>
          </w:tcPr>
          <w:p>
            <w:r>
              <w:t xml:space="preserve">Priority B-C</w:t>
            </w:r>
          </w:p>
        </w:tc>
        <w:tc>
          <w:tcPr>
            <w:tcW w:type="dxa" w:w="1800"/>
            <w:shd w:fill="F2F2F2" w:val="clear"/>
            <w:tcMar>
              <w:top w:type="dxa" w:w="80"/>
              <w:left w:type="dxa" w:w="120"/>
              <w:bottom w:type="dxa" w:w="80"/>
              <w:right w:type="dxa" w:w="120"/>
            </w:tcMar>
          </w:tcPr>
          <w:p>
            <w:r>
              <w:t xml:space="preserve">Asan is Korea's largest hospital</w:t>
            </w:r>
          </w:p>
        </w:tc>
      </w:tr>
    </w:tbl>
    <w:p>
      <w:pPr>
        <w:spacing w:after="100"/>
      </w:pPr>
    </w:p>
    <w:p>
      <w:pPr>
        <w:spacing w:after="100"/>
      </w:pPr>
      <w:r>
        <w:t xml:space="preserve">Outreach strategy: Begin with Priority A (4 universities). Provide free Tier 1 Pilot licenses (3 months, 5 preceptors). Collect testimonials. Use Priority A case studies to approach Priority B. Expand regionally via Priority C.</w:t>
      </w:r>
    </w:p>
    <w:p>
      <w:pPr>
        <w:pageBreakBefore/>
      </w:pPr>
    </w:p>
    <w:p>
      <w:pPr>
        <w:pStyle w:val="Heading1"/>
        <w:pStyle w:val="Heading1"/>
        <w:spacing w:before="400" w:after="100"/>
      </w:pPr>
      <w:r>
        <w:t xml:space="preserve">Reseller/Agent Demo Checklist</w:t>
      </w:r>
    </w:p>
    <w:p>
      <w:pPr>
        <w:spacing w:after="100"/>
      </w:pPr>
      <w:r>
        <w:t xml:space="preserve">What the agent needs to demonstrate to a hospital CNO:</w:t>
      </w:r>
    </w:p>
    <w:p>
      <w:pPr>
        <w:pStyle w:val="ListParagraph"/>
        <w:numPr>
          <w:ilvl w:val="0"/>
          <w:numId w:val="{undefined-0}"/>
        </w:numPr>
        <w:spacing w:after="80"/>
      </w:pPr>
      <w:r>
        <w:t xml:space="preserve">Pre-loaded demo account with 3 student nurses at different weeks (Week 2, 5, 8), showing progression.</w:t>
      </w:r>
    </w:p>
    <w:p>
      <w:pPr>
        <w:pStyle w:val="ListParagraph"/>
        <w:numPr>
          <w:ilvl w:val="0"/>
          <w:numId w:val="{undefined-0}"/>
        </w:numPr>
        <w:spacing w:after="80"/>
      </w:pPr>
      <w:r>
        <w:t xml:space="preserve">Live voice input demo — speak Korean, see transcribed text in real-time.</w:t>
      </w:r>
    </w:p>
    <w:p>
      <w:pPr>
        <w:pStyle w:val="ListParagraph"/>
        <w:numPr>
          <w:ilvl w:val="0"/>
          <w:numId w:val="{undefined-0}"/>
        </w:numPr>
        <w:spacing w:after="80"/>
      </w:pPr>
      <w:r>
        <w:t xml:space="preserve">Transform demo — show how messy voice input becomes professional 7-domain feedback.</w:t>
      </w:r>
    </w:p>
    <w:p>
      <w:pPr>
        <w:pStyle w:val="ListParagraph"/>
        <w:numPr>
          <w:ilvl w:val="0"/>
          <w:numId w:val="{undefined-0}"/>
        </w:numPr>
        <w:spacing w:after="80"/>
      </w:pPr>
      <w:r>
        <w:t xml:space="preserve">PDF demo — show professionally typeset Korean PDF with hospital header space, email confirmation.</w:t>
      </w:r>
    </w:p>
    <w:p>
      <w:pPr>
        <w:pStyle w:val="ListParagraph"/>
        <w:numPr>
          <w:ilvl w:val="0"/>
          <w:numId w:val="{undefined-0}"/>
        </w:numPr>
        <w:spacing w:after="80"/>
      </w:pPr>
      <w:r>
        <w:t xml:space="preserve">History view — show how 8 weeks of feedback builds competency narrative.</w:t>
      </w:r>
    </w:p>
    <w:p>
      <w:pPr>
        <w:pStyle w:val="ListParagraph"/>
        <w:numPr>
          <w:ilvl w:val="0"/>
          <w:numId w:val="{undefined-0}"/>
        </w:numPr>
        <w:spacing w:after="80"/>
      </w:pPr>
      <w:r>
        <w:t xml:space="preserve">ROI slide: 5–10% turnover reduction = 300–540M KRW saved per hospital/year. Tool costs 30–50M/year. 6–10x ROI.</w:t>
      </w:r>
    </w:p>
    <w:p>
      <w:pPr>
        <w:pStyle w:val="ListParagraph"/>
        <w:numPr>
          <w:ilvl w:val="0"/>
          <w:numId w:val="{undefined-0}"/>
        </w:numPr>
        <w:spacing w:after="80"/>
      </w:pPr>
      <w:r>
        <w:t xml:space="preserve">Privacy &amp; compliance: data isolated per hospital, no patient data stored, Korean-hosted option available.</w:t>
      </w:r>
    </w:p>
    <w:p>
      <w:pPr>
        <w:spacing w:after="100"/>
      </w:pPr>
    </w:p>
    <w:p>
      <w:pPr>
        <w:spacing w:after="100"/>
      </w:pPr>
      <w:r>
        <w:t xml:space="preserve">Estimated demo duration: 12–15 minutes. Key talking points: preceptor satisfaction, consistent feedback, student clarity, CNO visibility, cost recovery.</w:t>
      </w:r>
    </w:p>
    <w:p>
      <w:pPr>
        <w:pageBreakBefore/>
      </w:pPr>
    </w:p>
    <w:p>
      <w:pPr>
        <w:pStyle w:val="Heading1"/>
        <w:pStyle w:val="Heading1"/>
        <w:spacing w:before="400" w:after="100"/>
      </w:pPr>
      <w:r>
        <w:t xml:space="preserve">Pricing Model for Institutional Sales</w:t>
      </w:r>
    </w:p>
    <w:tbl>
      <w:tblPr>
        <w:tblW w:type="dxa" w:w="9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gridCol w:w="100"/>
      </w:tblGrid>
      <w:tr>
        <w:tc>
          <w:tcPr>
            <w:tcW w:type="dxa" w:w="1800"/>
            <w:shd w:fill="1F3A5F" w:color="FFFFFF" w:val="clear"/>
            <w:tcMar>
              <w:top w:type="dxa" w:w="80"/>
              <w:left w:type="dxa" w:w="120"/>
              <w:bottom w:type="dxa" w:w="80"/>
              <w:right w:type="dxa" w:w="120"/>
            </w:tcMar>
          </w:tcPr>
          <w:p>
            <w:r>
              <w:t xml:space="preserve">Tier</w:t>
            </w:r>
          </w:p>
        </w:tc>
        <w:tc>
          <w:tcPr>
            <w:tcW w:type="dxa" w:w="2000"/>
            <w:shd w:fill="1F3A5F" w:color="FFFFFF" w:val="clear"/>
            <w:tcMar>
              <w:top w:type="dxa" w:w="80"/>
              <w:left w:type="dxa" w:w="120"/>
              <w:bottom w:type="dxa" w:w="80"/>
              <w:right w:type="dxa" w:w="120"/>
            </w:tcMar>
          </w:tcPr>
          <w:p>
            <w:r>
              <w:t xml:space="preserve">Price</w:t>
            </w:r>
          </w:p>
        </w:tc>
        <w:tc>
          <w:tcPr>
            <w:tcW w:type="dxa" w:w="1200"/>
            <w:shd w:fill="1F3A5F" w:color="FFFFFF" w:val="clear"/>
            <w:tcMar>
              <w:top w:type="dxa" w:w="80"/>
              <w:left w:type="dxa" w:w="120"/>
              <w:bottom w:type="dxa" w:w="80"/>
              <w:right w:type="dxa" w:w="120"/>
            </w:tcMar>
          </w:tcPr>
          <w:p>
            <w:r>
              <w:t xml:space="preserve">Term</w:t>
            </w:r>
          </w:p>
        </w:tc>
        <w:tc>
          <w:tcPr>
            <w:tcW w:type="dxa" w:w="2200"/>
            <w:shd w:fill="1F3A5F" w:color="FFFFFF" w:val="clear"/>
            <w:tcMar>
              <w:top w:type="dxa" w:w="80"/>
              <w:left w:type="dxa" w:w="120"/>
              <w:bottom w:type="dxa" w:w="80"/>
              <w:right w:type="dxa" w:w="120"/>
            </w:tcMar>
          </w:tcPr>
          <w:p>
            <w:r>
              <w:t xml:space="preserve">Scope</w:t>
            </w:r>
          </w:p>
        </w:tc>
        <w:tc>
          <w:tcPr>
            <w:tcW w:type="dxa" w:w="1900"/>
            <w:shd w:fill="1F3A5F" w:color="FFFFFF" w:val="clear"/>
            <w:tcMar>
              <w:top w:type="dxa" w:w="80"/>
              <w:left w:type="dxa" w:w="120"/>
              <w:bottom w:type="dxa" w:w="80"/>
              <w:right w:type="dxa" w:w="120"/>
            </w:tcMar>
          </w:tcPr>
          <w:p>
            <w:r>
              <w:t xml:space="preserve">Target Use Case</w:t>
            </w:r>
          </w:p>
        </w:tc>
      </w:tr>
      <w:tr>
        <w:tc>
          <w:tcPr>
            <w:tcW w:type="dxa" w:w="1800"/>
            <w:shd w:fill="F2F2F2" w:val="clear"/>
            <w:tcMar>
              <w:top w:type="dxa" w:w="80"/>
              <w:left w:type="dxa" w:w="120"/>
              <w:bottom w:type="dxa" w:w="80"/>
              <w:right w:type="dxa" w:w="120"/>
            </w:tcMar>
          </w:tcPr>
          <w:p>
            <w:r>
              <w:t xml:space="preserve">Tier 1 — Pilot</w:t>
            </w:r>
          </w:p>
        </w:tc>
        <w:tc>
          <w:tcPr>
            <w:tcW w:type="dxa" w:w="2000"/>
            <w:shd w:fill="F2F2F2" w:val="clear"/>
            <w:tcMar>
              <w:top w:type="dxa" w:w="80"/>
              <w:left w:type="dxa" w:w="120"/>
              <w:bottom w:type="dxa" w:w="80"/>
              <w:right w:type="dxa" w:w="120"/>
            </w:tcMar>
          </w:tcPr>
          <w:p>
            <w:r>
              <w:t xml:space="preserve">Free</w:t>
            </w:r>
          </w:p>
        </w:tc>
        <w:tc>
          <w:tcPr>
            <w:tcW w:type="dxa" w:w="1200"/>
            <w:shd w:fill="F2F2F2" w:val="clear"/>
            <w:tcMar>
              <w:top w:type="dxa" w:w="80"/>
              <w:left w:type="dxa" w:w="120"/>
              <w:bottom w:type="dxa" w:w="80"/>
              <w:right w:type="dxa" w:w="120"/>
            </w:tcMar>
          </w:tcPr>
          <w:p>
            <w:r>
              <w:t xml:space="preserve">3 months</w:t>
            </w:r>
          </w:p>
        </w:tc>
        <w:tc>
          <w:tcPr>
            <w:tcW w:type="dxa" w:w="2200"/>
            <w:shd w:fill="F2F2F2" w:val="clear"/>
            <w:tcMar>
              <w:top w:type="dxa" w:w="80"/>
              <w:left w:type="dxa" w:w="120"/>
              <w:bottom w:type="dxa" w:w="80"/>
              <w:right w:type="dxa" w:w="120"/>
            </w:tcMar>
          </w:tcPr>
          <w:p>
            <w:r>
              <w:t xml:space="preserve">Up to 5 preceptors, 20 students</w:t>
            </w:r>
          </w:p>
        </w:tc>
        <w:tc>
          <w:tcPr>
            <w:tcW w:type="dxa" w:w="1900"/>
            <w:shd w:fill="F2F2F2" w:val="clear"/>
            <w:tcMar>
              <w:top w:type="dxa" w:w="80"/>
              <w:left w:type="dxa" w:w="120"/>
              <w:bottom w:type="dxa" w:w="80"/>
              <w:right w:type="dxa" w:w="120"/>
            </w:tcMar>
          </w:tcPr>
          <w:p>
            <w:r>
              <w:t xml:space="preserve">Validate product</w:t>
            </w:r>
          </w:p>
        </w:tc>
      </w:tr>
      <w:tr>
        <w:tc>
          <w:tcPr>
            <w:tcW w:type="dxa" w:w="1800"/>
            <w:shd w:fill="F2F2F2" w:val="clear"/>
            <w:tcMar>
              <w:top w:type="dxa" w:w="80"/>
              <w:left w:type="dxa" w:w="120"/>
              <w:bottom w:type="dxa" w:w="80"/>
              <w:right w:type="dxa" w:w="120"/>
            </w:tcMar>
          </w:tcPr>
          <w:p>
            <w:r>
              <w:t xml:space="preserve">Tier 2 — Department</w:t>
            </w:r>
          </w:p>
        </w:tc>
        <w:tc>
          <w:tcPr>
            <w:tcW w:type="dxa" w:w="2000"/>
            <w:shd w:fill="F2F2F2" w:val="clear"/>
            <w:tcMar>
              <w:top w:type="dxa" w:w="80"/>
              <w:left w:type="dxa" w:w="120"/>
              <w:bottom w:type="dxa" w:w="80"/>
              <w:right w:type="dxa" w:w="120"/>
            </w:tcMar>
          </w:tcPr>
          <w:p>
            <w:r>
              <w:t xml:space="preserve">15M KRW/year</w:t>
            </w:r>
          </w:p>
        </w:tc>
        <w:tc>
          <w:tcPr>
            <w:tcW w:type="dxa" w:w="1200"/>
            <w:shd w:fill="F2F2F2" w:val="clear"/>
            <w:tcMar>
              <w:top w:type="dxa" w:w="80"/>
              <w:left w:type="dxa" w:w="120"/>
              <w:bottom w:type="dxa" w:w="80"/>
              <w:right w:type="dxa" w:w="120"/>
            </w:tcMar>
          </w:tcPr>
          <w:p>
            <w:r>
              <w:t xml:space="preserve">Annual</w:t>
            </w:r>
          </w:p>
        </w:tc>
        <w:tc>
          <w:tcPr>
            <w:tcW w:type="dxa" w:w="2200"/>
            <w:shd w:fill="F2F2F2" w:val="clear"/>
            <w:tcMar>
              <w:top w:type="dxa" w:w="80"/>
              <w:left w:type="dxa" w:w="120"/>
              <w:bottom w:type="dxa" w:w="80"/>
              <w:right w:type="dxa" w:w="120"/>
            </w:tcMar>
          </w:tcPr>
          <w:p>
            <w:r>
              <w:t xml:space="preserve">20 preceptors, 100 students</w:t>
            </w:r>
          </w:p>
        </w:tc>
        <w:tc>
          <w:tcPr>
            <w:tcW w:type="dxa" w:w="1900"/>
            <w:shd w:fill="F2F2F2" w:val="clear"/>
            <w:tcMar>
              <w:top w:type="dxa" w:w="80"/>
              <w:left w:type="dxa" w:w="120"/>
              <w:bottom w:type="dxa" w:w="80"/>
              <w:right w:type="dxa" w:w="120"/>
            </w:tcMar>
          </w:tcPr>
          <w:p>
            <w:r>
              <w:t xml:space="preserve">Per-department rollout</w:t>
            </w:r>
          </w:p>
        </w:tc>
      </w:tr>
      <w:tr>
        <w:tc>
          <w:tcPr>
            <w:tcW w:type="dxa" w:w="1800"/>
            <w:shd w:fill="F2F2F2" w:val="clear"/>
            <w:tcMar>
              <w:top w:type="dxa" w:w="80"/>
              <w:left w:type="dxa" w:w="120"/>
              <w:bottom w:type="dxa" w:w="80"/>
              <w:right w:type="dxa" w:w="120"/>
            </w:tcMar>
          </w:tcPr>
          <w:p>
            <w:r>
              <w:t xml:space="preserve">Tier 3 — Hospital</w:t>
            </w:r>
          </w:p>
        </w:tc>
        <w:tc>
          <w:tcPr>
            <w:tcW w:type="dxa" w:w="2000"/>
            <w:shd w:fill="F2F2F2" w:val="clear"/>
            <w:tcMar>
              <w:top w:type="dxa" w:w="80"/>
              <w:left w:type="dxa" w:w="120"/>
              <w:bottom w:type="dxa" w:w="80"/>
              <w:right w:type="dxa" w:w="120"/>
            </w:tcMar>
          </w:tcPr>
          <w:p>
            <w:r>
              <w:t xml:space="preserve">30–50M KRW/year</w:t>
            </w:r>
          </w:p>
        </w:tc>
        <w:tc>
          <w:tcPr>
            <w:tcW w:type="dxa" w:w="1200"/>
            <w:shd w:fill="F2F2F2" w:val="clear"/>
            <w:tcMar>
              <w:top w:type="dxa" w:w="80"/>
              <w:left w:type="dxa" w:w="120"/>
              <w:bottom w:type="dxa" w:w="80"/>
              <w:right w:type="dxa" w:w="120"/>
            </w:tcMar>
          </w:tcPr>
          <w:p>
            <w:r>
              <w:t xml:space="preserve">Annual</w:t>
            </w:r>
          </w:p>
        </w:tc>
        <w:tc>
          <w:tcPr>
            <w:tcW w:type="dxa" w:w="2200"/>
            <w:shd w:fill="F2F2F2" w:val="clear"/>
            <w:tcMar>
              <w:top w:type="dxa" w:w="80"/>
              <w:left w:type="dxa" w:w="120"/>
              <w:bottom w:type="dxa" w:w="80"/>
              <w:right w:type="dxa" w:w="120"/>
            </w:tcMar>
          </w:tcPr>
          <w:p>
            <w:r>
              <w:t xml:space="preserve">Unlimited preceptors/students, all depts, priority support</w:t>
            </w:r>
          </w:p>
        </w:tc>
        <w:tc>
          <w:tcPr>
            <w:tcW w:type="dxa" w:w="1900"/>
            <w:shd w:fill="F2F2F2" w:val="clear"/>
            <w:tcMar>
              <w:top w:type="dxa" w:w="80"/>
              <w:left w:type="dxa" w:w="120"/>
              <w:bottom w:type="dxa" w:w="80"/>
              <w:right w:type="dxa" w:w="120"/>
            </w:tcMar>
          </w:tcPr>
          <w:p>
            <w:r>
              <w:t xml:space="preserve">Full-hospital deployment</w:t>
            </w:r>
          </w:p>
        </w:tc>
      </w:tr>
      <w:tr>
        <w:tc>
          <w:tcPr>
            <w:tcW w:type="dxa" w:w="1800"/>
            <w:shd w:fill="F2F2F2" w:val="clear"/>
            <w:tcMar>
              <w:top w:type="dxa" w:w="80"/>
              <w:left w:type="dxa" w:w="120"/>
              <w:bottom w:type="dxa" w:w="80"/>
              <w:right w:type="dxa" w:w="120"/>
            </w:tcMar>
          </w:tcPr>
          <w:p>
            <w:r>
              <w:t xml:space="preserve">Enterprise</w:t>
            </w:r>
          </w:p>
        </w:tc>
        <w:tc>
          <w:tcPr>
            <w:tcW w:type="dxa" w:w="2000"/>
            <w:shd w:fill="F2F2F2" w:val="clear"/>
            <w:tcMar>
              <w:top w:type="dxa" w:w="80"/>
              <w:left w:type="dxa" w:w="120"/>
              <w:bottom w:type="dxa" w:w="80"/>
              <w:right w:type="dxa" w:w="120"/>
            </w:tcMar>
          </w:tcPr>
          <w:p>
            <w:r>
              <w:t xml:space="preserve">Contact for quote</w:t>
            </w:r>
          </w:p>
        </w:tc>
        <w:tc>
          <w:tcPr>
            <w:tcW w:type="dxa" w:w="1200"/>
            <w:shd w:fill="F2F2F2" w:val="clear"/>
            <w:tcMar>
              <w:top w:type="dxa" w:w="80"/>
              <w:left w:type="dxa" w:w="120"/>
              <w:bottom w:type="dxa" w:w="80"/>
              <w:right w:type="dxa" w:w="120"/>
            </w:tcMar>
          </w:tcPr>
          <w:p>
            <w:r>
              <w:t xml:space="preserve">Annual</w:t>
            </w:r>
          </w:p>
        </w:tc>
        <w:tc>
          <w:tcPr>
            <w:tcW w:type="dxa" w:w="2200"/>
            <w:shd w:fill="F2F2F2" w:val="clear"/>
            <w:tcMar>
              <w:top w:type="dxa" w:w="80"/>
              <w:left w:type="dxa" w:w="120"/>
              <w:bottom w:type="dxa" w:w="80"/>
              <w:right w:type="dxa" w:w="120"/>
            </w:tcMar>
          </w:tcPr>
          <w:p>
            <w:r>
              <w:t xml:space="preserve">Multi-hospital networks, custom SLA, dedicated support</w:t>
            </w:r>
          </w:p>
        </w:tc>
        <w:tc>
          <w:tcPr>
            <w:tcW w:type="dxa" w:w="1900"/>
            <w:shd w:fill="F2F2F2" w:val="clear"/>
            <w:tcMar>
              <w:top w:type="dxa" w:w="80"/>
              <w:left w:type="dxa" w:w="120"/>
              <w:bottom w:type="dxa" w:w="80"/>
              <w:right w:type="dxa" w:w="120"/>
            </w:tcMar>
          </w:tcPr>
          <w:p>
            <w:r>
              <w:t xml:space="preserve">Healthcare systems</w:t>
            </w:r>
          </w:p>
        </w:tc>
      </w:tr>
    </w:tbl>
    <w:p>
      <w:pPr>
        <w:spacing w:after="100"/>
      </w:pPr>
    </w:p>
    <w:p>
      <w:pPr>
        <w:pStyle w:val="Heading2"/>
        <w:pStyle w:val="Heading2"/>
        <w:spacing w:before="200" w:after="100"/>
      </w:pPr>
      <w:r>
        <w:t xml:space="preserve">Agent/Reseller Commission</w:t>
      </w:r>
    </w:p>
    <w:p>
      <w:pPr>
        <w:pStyle w:val="ListParagraph"/>
        <w:numPr>
          <w:ilvl w:val="0"/>
          <w:numId w:val="1"/>
        </w:numPr>
        <w:spacing w:after="80"/>
      </w:pPr>
      <w:r>
        <w:t xml:space="preserve">First-year revenue: 25–30% commission</w:t>
      </w:r>
    </w:p>
    <w:p>
      <w:pPr>
        <w:pStyle w:val="ListParagraph"/>
        <w:numPr>
          <w:ilvl w:val="0"/>
          <w:numId w:val="1"/>
        </w:numPr>
        <w:spacing w:after="80"/>
      </w:pPr>
      <w:r>
        <w:t xml:space="preserve">Recurring (Year 2+): 15–20% commission</w:t>
      </w:r>
    </w:p>
    <w:p>
      <w:pPr>
        <w:pStyle w:val="ListParagraph"/>
        <w:numPr>
          <w:ilvl w:val="0"/>
          <w:numId w:val="1"/>
        </w:numPr>
        <w:spacing w:after="80"/>
      </w:pPr>
      <w:r>
        <w:t xml:space="preserve">Tiered bonus: +5% if agent closes 3+ contracts in a calendar year</w:t>
      </w:r>
    </w:p>
    <w:p>
      <w:pPr>
        <w:pStyle w:val="ListParagraph"/>
        <w:numPr>
          <w:ilvl w:val="0"/>
          <w:numId w:val="1"/>
        </w:numPr>
        <w:spacing w:after="80"/>
      </w:pPr>
      <w:r>
        <w:t xml:space="preserve">MRR support: dedicated Slack channel, monthly business review, co-marketing materials</w:t>
      </w:r>
    </w:p>
    <w:p>
      <w:pPr>
        <w:spacing w:after="100"/>
      </w:pPr>
    </w:p>
    <w:p>
      <w:pPr>
        <w:spacing w:after="100"/>
      </w:pPr>
      <w:r>
        <w:t xml:space="preserve">Payment terms: Net 30 (invoiced monthly) or Net 10 (via KSNET for Korean hospitals). Reseller agreement includes NDA, non-solicitation, marketing approval, quarterly reviews.</w:t>
      </w:r>
    </w:p>
    <w:p>
      <w:pPr>
        <w:pageBreakBefore/>
      </w:pPr>
    </w:p>
    <w:p>
      <w:pPr>
        <w:spacing w:after="100"/>
      </w:pPr>
      <w:r>
        <w:t xml:space="preserve">Document Information</w:t>
      </w:r>
    </w:p>
    <w:p>
      <w:pPr>
        <w:spacing w:after="100"/>
      </w:pPr>
      <w:r>
        <w:t xml:space="preserve">Title: Preceptor Support — MVP Technical Blueprint &amp; Demo Spec</w:t>
      </w:r>
    </w:p>
    <w:p>
      <w:pPr>
        <w:spacing w:after="100"/>
      </w:pPr>
      <w:r>
        <w:t xml:space="preserve">Status: WORKING DRAFT</w:t>
      </w:r>
    </w:p>
    <w:p>
      <w:pPr>
        <w:spacing w:after="100"/>
      </w:pPr>
      <w:r>
        <w:t xml:space="preserve">Confidential — Workflow Tools</w:t>
      </w:r>
    </w:p>
    <w:p>
      <w:pPr>
        <w:spacing w:after="100"/>
      </w:pPr>
    </w:p>
    <w:p>
      <w:pPr>
        <w:spacing w:after="100"/>
      </w:pPr>
      <w:r>
        <w:t xml:space="preserve">This document serves as both the technical build specification and the reseller demo script. It is intended for internal development teams, reseller partners, and hospital decision-makers.</w:t>
      </w:r>
    </w:p>
    <w:p>
      <w:pPr>
        <w:spacing w:after="100"/>
      </w:pPr>
    </w:p>
    <w:p>
      <w:pPr>
        <w:spacing w:after="100"/>
      </w:pPr>
      <w:r>
        <w:t xml:space="preserve">For questions, contact: [Development Lead / Sales Director]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44"/>
        <w:szCs w:val="4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2026-02-25T00:02:59.950Z</dcterms:created>
  <dcterms:modified xsi:type="dcterms:W3CDTF">2026-02-25T00:02:59.952Z</dcterms:modified>
</cp:coreProperties>
</file>

<file path=docProps/custom.xml><?xml version="1.0" encoding="utf-8"?>
<Properties xmlns="http://schemas.openxmlformats.org/officeDocument/2006/custom-properties" xmlns:vt="http://schemas.openxmlformats.org/officeDocument/2006/docPropsVTypes"/>
</file>