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4"/>
          <w:szCs w:val="44"/>
        </w:rPr>
        <w:t xml:space="preserve">Micro-SaaS Ideas</w:t>
      </w:r>
    </w:p>
    <w:p>
      <w:pPr>
        <w:spacing w:after="200"/>
        <w:jc w:val="center"/>
      </w:pPr>
      <w:r>
        <w:rPr>
          <w:rFonts w:ascii="Arial" w:cs="Arial" w:eastAsia="Arial" w:hAnsi="Arial"/>
          <w:color w:val="2E4057"/>
          <w:sz w:val="28"/>
          <w:szCs w:val="28"/>
        </w:rPr>
        <w:t xml:space="preserve">ML Upskill Agents UG</w:t>
      </w:r>
    </w:p>
    <w:p>
      <w:pPr>
        <w:spacing w:after="400"/>
        <w:jc w:val="center"/>
      </w:pPr>
      <w:r>
        <w:rPr>
          <w:rFonts w:ascii="Arial" w:cs="Arial" w:eastAsia="Arial" w:hAnsi="Arial"/>
          <w:color w:val="999999"/>
          <w:sz w:val="18"/>
          <w:szCs w:val="18"/>
        </w:rPr>
        <w:t xml:space="preserve">A running list of product ideas, from shower thoughts to validated opportunities.
Last updated: March 2026</w:t>
      </w:r>
    </w:p>
    <w:p>
      <w:pPr>
        <w:spacing w:after="120"/>
      </w:pPr>
      <w:r>
        <w:rPr>
          <w:rFonts w:ascii="Arial" w:cs="Arial" w:eastAsia="Arial" w:hAnsi="Arial"/>
          <w:sz w:val="20"/>
          <w:szCs w:val="20"/>
        </w:rPr>
        <w:t xml:space="preserve">This document collects micro-SaaS ideas that come up during development, research, conversations, and general pattern recognition. Not every idea is viable. The point is to capture them before they evaporate and evaluate them honestly later.</w:t>
      </w:r>
    </w:p>
    <w:p>
      <w:pPr>
        <w:spacing w:after="120"/>
      </w:pPr>
      <w:r>
        <w:rPr>
          <w:rFonts w:ascii="Arial" w:cs="Arial" w:eastAsia="Arial" w:hAnsi="Arial"/>
          <w:sz w:val="20"/>
          <w:szCs w:val="20"/>
        </w:rPr>
        <w:t xml:space="preserve">Evaluation criteria that matter for our situation: can it run low-maintenance while I finish my PhD and move with my family? Does it generate recurring revenue? Is the niche defensible (not easily replicated by a generalist tool)?</w:t>
      </w:r>
    </w:p>
    <w:p>
      <w:pPr>
        <w:pStyle w:val="Heading1"/>
        <w:spacing w:before="360" w:after="200"/>
      </w:pPr>
      <w:r>
        <w:rPr>
          <w:rFonts w:ascii="Arial" w:cs="Arial" w:eastAsia="Arial" w:hAnsi="Arial"/>
          <w:b/>
          <w:bCs/>
          <w:color w:val="1F3A5F"/>
          <w:sz w:val="28"/>
          <w:szCs w:val="28"/>
        </w:rPr>
        <w:t xml:space="preserve">Quick Scorecard</w:t>
      </w:r>
    </w:p>
    <w:p>
      <w:pPr>
        <w:spacing w:after="120"/>
      </w:pPr>
      <w:r>
        <w:rPr>
          <w:rFonts w:ascii="Arial" w:cs="Arial" w:eastAsia="Arial" w:hAnsi="Arial"/>
          <w:sz w:val="20"/>
          <w:szCs w:val="20"/>
        </w:rPr>
        <w:t xml:space="preserve">Niche defensibility: How hard is it for a generalist competitor to replicate? Effort: Build time from zero to MVP. Recurring: Is the revenue model subscription-based?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Niche</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Recurring</w:t>
            </w:r>
          </w:p>
        </w:tc>
        <w:tc>
          <w:tcPr>
            <w:tcW w:type="dxa" w:w="2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WritingPAD (UK)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Live — writingpad.co.uk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ProPrecept (Ireland)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In progress — proprecept.com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Country variants (AU, RSA, etc.)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Scaffolded, not launched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Niche Social Listener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stage — likely competitors exist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Assessment Wizard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Concept — WGU evaluator experience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Faculty Wizard (USA)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Deferred until WritingPAD proves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Conference Kit Generator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Internal tool idea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Indie Dev Pipeline Automator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Dissertation-aligned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Market-Entry Playbook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stage — emerged from RSA localisation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Prompt Contract QA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 prototype — from ProPrecept QA gauntlet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IEP Advocate (USA/UK)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Exploration — full scaffold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Jurisdiction-Aware Compliance Doc Assistant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 GRUND reuse 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International SaaS Business-in-a-Box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stage — emerged from Rebeka expansion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  └ Vendor Drift 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 (module)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BiaB extension — dog-food on Rebeka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EthicalPivot (API Proxy)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 (4.75% usage markup)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Active — stopgap proxy, time-sensitive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Migration Scanner (EthicalPivot Phase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No (per-scan)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 EthicalPivot spinoff, longer-term play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Local LLM Distribution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 (license + updates)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Pattern — cross-cutting, dissertation-aligned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EU AI Act Dataset Card Generator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Idea — Beelink data factory spinoff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b/>
                <w:sz w:val="20"/>
                <w:szCs w:val="20"/>
              </w:rPr>
              <w:t xml:space="preserve">Farafield (NurseAfield)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Nurse migration (IN/NG/CO/KE/NP → 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Medium-High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rFonts w:ascii="Arial" w:cs="Arial" w:eastAsia="Arial" w:hAnsi="Arial"/>
                <w:sz w:val="20"/>
                <w:szCs w:val="20"/>
              </w:rPr>
              <w:t xml:space="preserve">Scaffolded — sync layer built, pathway engine working</w:t>
            </w:r>
          </w:p>
        </w:tc>
      </w:tr>
    </w:tbl>
    <w:p>
      <w:r>
        <w:br w:type="page"/>
      </w:r>
    </w:p>
    <w:p>
      <w:pPr>
        <w:pStyle w:val="Heading1"/>
        <w:spacing w:before="360" w:after="200"/>
      </w:pPr>
      <w:r>
        <w:rPr>
          <w:rFonts w:ascii="Arial" w:cs="Arial" w:eastAsia="Arial" w:hAnsi="Arial"/>
          <w:b/>
          <w:bCs/>
          <w:color w:val="1F3A5F"/>
          <w:sz w:val="28"/>
          <w:szCs w:val="28"/>
        </w:rPr>
        <w:t xml:space="preserve">Active Products</w:t>
      </w:r>
    </w:p>
    <w:p>
      <w:pPr>
        <w:pStyle w:val="Heading2"/>
        <w:spacing w:before="240" w:after="120"/>
      </w:pPr>
      <w:r>
        <w:rPr>
          <w:rFonts w:ascii="Arial" w:cs="Arial" w:eastAsia="Arial" w:hAnsi="Arial"/>
          <w:b/>
          <w:bCs/>
          <w:color w:val="2E4057"/>
          <w:sz w:val="24"/>
          <w:szCs w:val="24"/>
        </w:rPr>
        <w:t xml:space="preserve">1. WritingPAD (UK)</w:t>
      </w:r>
    </w:p>
    <w:p>
      <w:pPr>
        <w:spacing w:after="120"/>
      </w:pPr>
      <w:r>
        <w:rPr>
          <w:rFonts w:ascii="Arial" w:cs="Arial" w:eastAsia="Arial" w:hAnsi="Arial"/>
          <w:sz w:val="20"/>
          <w:szCs w:val="20"/>
        </w:rPr>
        <w:t xml:space="preserve">Transforms rough practice assessor notes into professional, NMC-aligned PAD feedback. Voice input with clinical speech model. Stripe billing with UK VAT.</w:t>
      </w:r>
    </w:p>
    <w:p>
      <w:pPr>
        <w:pStyle w:val="ListParagraph"/>
        <w:numPr>
          <w:ilvl w:val="0"/>
          <w:numId w:val="2"/>
        </w:numPr>
        <w:spacing w:after="80"/>
      </w:pPr>
      <w:r>
        <w:rPr>
          <w:rFonts w:ascii="Arial" w:cs="Arial" w:eastAsia="Arial" w:hAnsi="Arial"/>
          <w:b/>
          <w:bCs/>
          <w:sz w:val="20"/>
          <w:szCs w:val="20"/>
        </w:rPr>
        <w:t xml:space="preserve">Status: </w:t>
      </w:r>
      <w:r>
        <w:rPr>
          <w:rFonts w:ascii="Arial" w:cs="Arial" w:eastAsia="Arial" w:hAnsi="Arial"/>
          <w:sz w:val="20"/>
          <w:szCs w:val="20"/>
        </w:rPr>
        <w:t xml:space="preserve">Live at writingpad.co.uk. Blog seeded, SEO infrastructure in place, social accounts starting.</w:t>
      </w:r>
    </w:p>
    <w:p>
      <w:pPr>
        <w:pStyle w:val="ListParagraph"/>
        <w:numPr>
          <w:ilvl w:val="0"/>
          <w:numId w:val="2"/>
        </w:numPr>
        <w:spacing w:after="80"/>
      </w:pPr>
      <w:r>
        <w:rPr>
          <w:rFonts w:ascii="Arial" w:cs="Arial" w:eastAsia="Arial" w:hAnsi="Arial"/>
          <w:b/>
          <w:bCs/>
          <w:sz w:val="20"/>
          <w:szCs w:val="20"/>
        </w:rPr>
        <w:t xml:space="preserve">Revenue model: </w:t>
      </w:r>
      <w:r>
        <w:rPr>
          <w:rFonts w:ascii="Arial" w:cs="Arial" w:eastAsia="Arial" w:hAnsi="Arial"/>
          <w:sz w:val="20"/>
          <w:szCs w:val="20"/>
        </w:rPr>
        <w:t xml:space="preserve">Monthly / quarterly / annual subscription after 5 free demo uses.</w:t>
      </w:r>
    </w:p>
    <w:p>
      <w:pPr>
        <w:pStyle w:val="ListParagraph"/>
        <w:numPr>
          <w:ilvl w:val="0"/>
          <w:numId w:val="2"/>
        </w:numPr>
        <w:spacing w:after="80"/>
      </w:pPr>
      <w:r>
        <w:rPr>
          <w:rFonts w:ascii="Arial" w:cs="Arial" w:eastAsia="Arial" w:hAnsi="Arial"/>
          <w:b/>
          <w:bCs/>
          <w:sz w:val="20"/>
          <w:szCs w:val="20"/>
        </w:rPr>
        <w:t xml:space="preserve">Key risk: </w:t>
      </w:r>
      <w:r>
        <w:rPr>
          <w:rFonts w:ascii="Arial" w:cs="Arial" w:eastAsia="Arial" w:hAnsi="Arial"/>
          <w:sz w:val="20"/>
          <w:szCs w:val="20"/>
        </w:rPr>
        <w:t xml:space="preserve">Adoption — practice assessors are busy and may not actively search for tools. Marketing execution is everything.</w:t>
      </w:r>
    </w:p>
    <w:p>
      <w:pPr>
        <w:pStyle w:val="Heading2"/>
        <w:spacing w:before="240" w:after="120"/>
      </w:pPr>
      <w:r>
        <w:rPr>
          <w:rFonts w:ascii="Arial" w:cs="Arial" w:eastAsia="Arial" w:hAnsi="Arial"/>
          <w:b/>
          <w:bCs/>
          <w:color w:val="2E4057"/>
          <w:sz w:val="24"/>
          <w:szCs w:val="24"/>
        </w:rPr>
        <w:t xml:space="preserve">2. ProPrecept (Ireland)</w:t>
      </w:r>
    </w:p>
    <w:p>
      <w:pPr>
        <w:spacing w:after="120"/>
      </w:pPr>
      <w:r>
        <w:rPr>
          <w:rFonts w:ascii="Arial" w:cs="Arial" w:eastAsia="Arial" w:hAnsi="Arial"/>
          <w:sz w:val="20"/>
          <w:szCs w:val="20"/>
        </w:rPr>
        <w:t xml:space="preserve">Same core product, localised for the Irish NMBI preceptorship framework and NCAD/MyCad competence assessment system.</w:t>
      </w:r>
    </w:p>
    <w:p>
      <w:pPr>
        <w:pStyle w:val="ListParagraph"/>
        <w:numPr>
          <w:ilvl w:val="0"/>
          <w:numId w:val="2"/>
        </w:numPr>
        <w:spacing w:after="80"/>
      </w:pPr>
      <w:r>
        <w:rPr>
          <w:rFonts w:ascii="Arial" w:cs="Arial" w:eastAsia="Arial" w:hAnsi="Arial"/>
          <w:b/>
          <w:bCs/>
          <w:sz w:val="20"/>
          <w:szCs w:val="20"/>
        </w:rPr>
        <w:t xml:space="preserve">Status: </w:t>
      </w:r>
      <w:r>
        <w:rPr>
          <w:rFonts w:ascii="Arial" w:cs="Arial" w:eastAsia="Arial" w:hAnsi="Arial"/>
          <w:sz w:val="20"/>
          <w:szCs w:val="20"/>
        </w:rPr>
        <w:t xml:space="preserve">In development. Targeting INMO conference presence April/May 2026.</w:t>
      </w:r>
    </w:p>
    <w:p>
      <w:pPr>
        <w:pStyle w:val="ListParagraph"/>
        <w:numPr>
          <w:ilvl w:val="0"/>
          <w:numId w:val="2"/>
        </w:numPr>
        <w:spacing w:after="80"/>
      </w:pPr>
      <w:r>
        <w:rPr>
          <w:rFonts w:ascii="Arial" w:cs="Arial" w:eastAsia="Arial" w:hAnsi="Arial"/>
          <w:b/>
          <w:bCs/>
          <w:sz w:val="20"/>
          <w:szCs w:val="20"/>
        </w:rPr>
        <w:t xml:space="preserve">Timing advantage: </w:t>
      </w:r>
      <w:r>
        <w:rPr>
          <w:rFonts w:ascii="Arial" w:cs="Arial" w:eastAsia="Arial" w:hAnsi="Arial"/>
          <w:sz w:val="20"/>
          <w:szCs w:val="20"/>
        </w:rPr>
        <w:t xml:space="preserve">MyCad is rolling out nationally from ATU Donegal. Preceptors are transitioning from paper to digital for the first time — the writing pain is fresh.</w:t>
      </w:r>
    </w:p>
    <w:p>
      <w:pPr>
        <w:pStyle w:val="ListParagraph"/>
        <w:numPr>
          <w:ilvl w:val="0"/>
          <w:numId w:val="2"/>
        </w:numPr>
        <w:spacing w:after="80"/>
      </w:pPr>
      <w:r>
        <w:rPr>
          <w:rFonts w:ascii="Arial" w:cs="Arial" w:eastAsia="Arial" w:hAnsi="Arial"/>
          <w:b/>
          <w:bCs/>
          <w:sz w:val="20"/>
          <w:szCs w:val="20"/>
        </w:rPr>
        <w:t xml:space="preserve">Key risk: </w:t>
      </w:r>
      <w:r>
        <w:rPr>
          <w:rFonts w:ascii="Arial" w:cs="Arial" w:eastAsia="Arial" w:hAnsi="Arial"/>
          <w:sz w:val="20"/>
          <w:szCs w:val="20"/>
        </w:rPr>
        <w:t xml:space="preserve">Smaller market than UK. Need to validate demand before investing in marketing.</w:t>
      </w:r>
    </w:p>
    <w:p>
      <w:pPr>
        <w:pStyle w:val="Heading2"/>
        <w:spacing w:before="240" w:after="120"/>
      </w:pPr>
      <w:r>
        <w:rPr>
          <w:rFonts w:ascii="Arial" w:cs="Arial" w:eastAsia="Arial" w:hAnsi="Arial"/>
          <w:b/>
          <w:bCs/>
          <w:color w:val="2E4057"/>
          <w:sz w:val="24"/>
          <w:szCs w:val="24"/>
        </w:rPr>
        <w:t xml:space="preserve">3. Country Variants (AU, RSA, etc.)</w:t>
      </w:r>
    </w:p>
    <w:p>
      <w:pPr>
        <w:spacing w:after="120"/>
      </w:pPr>
      <w:r>
        <w:rPr>
          <w:rFonts w:ascii="Arial" w:cs="Arial" w:eastAsia="Arial" w:hAnsi="Arial"/>
          <w:sz w:val="20"/>
          <w:szCs w:val="20"/>
        </w:rPr>
        <w:t xml:space="preserve">The market-expansion skill can scaffold a new country variant in hours. Each variant swaps regulatory body, terminology, currency, and assessment framework.</w:t>
      </w:r>
    </w:p>
    <w:p>
      <w:pPr>
        <w:pStyle w:val="ListParagraph"/>
        <w:numPr>
          <w:ilvl w:val="0"/>
          <w:numId w:val="2"/>
        </w:numPr>
        <w:spacing w:after="80"/>
      </w:pPr>
      <w:r>
        <w:rPr>
          <w:rFonts w:ascii="Arial" w:cs="Arial" w:eastAsia="Arial" w:hAnsi="Arial"/>
          <w:b/>
          <w:bCs/>
          <w:sz w:val="20"/>
          <w:szCs w:val="20"/>
        </w:rPr>
        <w:t xml:space="preserve">Scaffolded: </w:t>
      </w:r>
      <w:r>
        <w:rPr>
          <w:rFonts w:ascii="Arial" w:cs="Arial" w:eastAsia="Arial" w:hAnsi="Arial"/>
          <w:sz w:val="20"/>
          <w:szCs w:val="20"/>
        </w:rPr>
        <w:t xml:space="preserve">Australia (ANMAC/AHPRA), South Africa (SANC). Not launched.</w:t>
      </w:r>
    </w:p>
    <w:p>
      <w:pPr>
        <w:pStyle w:val="ListParagraph"/>
        <w:numPr>
          <w:ilvl w:val="0"/>
          <w:numId w:val="2"/>
        </w:numPr>
        <w:spacing w:after="80"/>
      </w:pPr>
      <w:r>
        <w:rPr>
          <w:rFonts w:ascii="Arial" w:cs="Arial" w:eastAsia="Arial" w:hAnsi="Arial"/>
          <w:b/>
          <w:bCs/>
          <w:sz w:val="20"/>
          <w:szCs w:val="20"/>
        </w:rPr>
        <w:t xml:space="preserve">Opportunity: </w:t>
      </w:r>
      <w:r>
        <w:rPr>
          <w:rFonts w:ascii="Arial" w:cs="Arial" w:eastAsia="Arial" w:hAnsi="Arial"/>
          <w:sz w:val="20"/>
          <w:szCs w:val="20"/>
        </w:rPr>
        <w:t xml:space="preserve">Each country with a structured clinical placement assessment system is a potential market. The product is the same; the localisation is the moat.</w:t>
      </w:r>
    </w:p>
    <w:p>
      <w:pPr>
        <w:pStyle w:val="ListParagraph"/>
        <w:numPr>
          <w:ilvl w:val="0"/>
          <w:numId w:val="2"/>
        </w:numPr>
        <w:spacing w:after="80"/>
      </w:pPr>
      <w:r>
        <w:rPr>
          <w:rFonts w:ascii="Arial" w:cs="Arial" w:eastAsia="Arial" w:hAnsi="Arial"/>
          <w:b/>
          <w:bCs/>
          <w:sz w:val="20"/>
          <w:szCs w:val="20"/>
        </w:rPr>
        <w:t xml:space="preserve">Key risk: </w:t>
      </w:r>
      <w:r>
        <w:rPr>
          <w:rFonts w:ascii="Arial" w:cs="Arial" w:eastAsia="Arial" w:hAnsi="Arial"/>
          <w:sz w:val="20"/>
          <w:szCs w:val="20"/>
        </w:rPr>
        <w:t xml:space="preserve">Spreading too thin before the UK/Ireland model is proven. Launch sequentially, not simultaneously.</w:t>
      </w:r>
    </w:p>
    <w:p>
      <w:r>
        <w:br w:type="page"/>
      </w:r>
    </w:p>
    <w:p>
      <w:pPr>
        <w:pStyle w:val="Heading1"/>
        <w:spacing w:before="360" w:after="200"/>
      </w:pPr>
      <w:r>
        <w:rPr>
          <w:rFonts w:ascii="Arial" w:cs="Arial" w:eastAsia="Arial" w:hAnsi="Arial"/>
          <w:b/>
          <w:bCs/>
          <w:color w:val="1F3A5F"/>
          <w:sz w:val="28"/>
          <w:szCs w:val="28"/>
        </w:rPr>
        <w:t xml:space="preserve">Idea Pipeline</w:t>
      </w:r>
    </w:p>
    <w:p>
      <w:pPr>
        <w:pStyle w:val="Heading2"/>
        <w:spacing w:before="240" w:after="120"/>
      </w:pPr>
      <w:r>
        <w:rPr>
          <w:rFonts w:ascii="Arial" w:cs="Arial" w:eastAsia="Arial" w:hAnsi="Arial"/>
          <w:b/>
          <w:bCs/>
          <w:color w:val="2E4057"/>
          <w:sz w:val="24"/>
          <w:szCs w:val="24"/>
        </w:rPr>
        <w:t xml:space="preserve">4. Niche Social Listener</w:t>
      </w:r>
    </w:p>
    <w:p>
      <w:pPr>
        <w:spacing w:after="120"/>
      </w:pPr>
      <w:r>
        <w:rPr>
          <w:rFonts w:ascii="Arial" w:cs="Arial" w:eastAsia="Arial" w:hAnsi="Arial"/>
          <w:sz w:val="20"/>
          <w:szCs w:val="20"/>
        </w:rPr>
        <w:t xml:space="preserve">A lightweight dashboard that monitors specific hashtags and keywords across X/Twitter and Reddit, filters for high-engagement posts in a defined niche, and sends a daily email digest. Built for solo SaaS founders and small marketing teams who can’t justify enterprise social listening tools.</w:t>
      </w:r>
    </w:p>
    <w:p>
      <w:pPr>
        <w:pStyle w:val="ListParagraph"/>
        <w:numPr>
          <w:ilvl w:val="0"/>
          <w:numId w:val="2"/>
        </w:numPr>
        <w:spacing w:after="80"/>
      </w:pPr>
      <w:r>
        <w:rPr>
          <w:rFonts w:ascii="Arial" w:cs="Arial" w:eastAsia="Arial" w:hAnsi="Arial"/>
          <w:b/>
          <w:bCs/>
          <w:sz w:val="20"/>
          <w:szCs w:val="20"/>
        </w:rPr>
        <w:t xml:space="preserve">Origin: </w:t>
      </w:r>
      <w:r>
        <w:rPr>
          <w:rFonts w:ascii="Arial" w:cs="Arial" w:eastAsia="Arial" w:hAnsi="Arial"/>
          <w:sz w:val="20"/>
          <w:szCs w:val="20"/>
        </w:rPr>
        <w:t xml:space="preserve">My own pain point — need to monitor #WeNurses, #PracticeAssessor, ePAD mentions, etc. for marketing moments, but can’t manually scroll feeds.</w:t>
      </w:r>
    </w:p>
    <w:p>
      <w:pPr>
        <w:pStyle w:val="ListParagraph"/>
        <w:numPr>
          <w:ilvl w:val="0"/>
          <w:numId w:val="2"/>
        </w:numPr>
        <w:spacing w:after="80"/>
      </w:pPr>
      <w:r>
        <w:rPr>
          <w:rFonts w:ascii="Arial" w:cs="Arial" w:eastAsia="Arial" w:hAnsi="Arial"/>
          <w:b/>
          <w:bCs/>
          <w:sz w:val="20"/>
          <w:szCs w:val="20"/>
        </w:rPr>
        <w:t xml:space="preserve">Viability concern: </w:t>
      </w:r>
      <w:r>
        <w:rPr>
          <w:rFonts w:ascii="Arial" w:cs="Arial" w:eastAsia="Arial" w:hAnsi="Arial"/>
          <w:sz w:val="20"/>
          <w:szCs w:val="20"/>
        </w:rPr>
        <w:t xml:space="preserve">This is NOT niche-defensible. Mention.com, Brand24, Hootsuite, and dozens of others do this. Would need a strong differentiator (e.g., AI-powered relevance scoring for micro-niches, or a “solo founder” price point under $10/mo) to compete.</w:t>
      </w:r>
    </w:p>
    <w:p>
      <w:pPr>
        <w:pStyle w:val="ListParagraph"/>
        <w:numPr>
          <w:ilvl w:val="0"/>
          <w:numId w:val="2"/>
        </w:numPr>
        <w:spacing w:after="80"/>
      </w:pPr>
      <w:r>
        <w:rPr>
          <w:rFonts w:ascii="Arial" w:cs="Arial" w:eastAsia="Arial" w:hAnsi="Arial"/>
          <w:b/>
          <w:bCs/>
          <w:sz w:val="20"/>
          <w:szCs w:val="20"/>
        </w:rPr>
        <w:t xml:space="preserve">Verdict: </w:t>
      </w:r>
      <w:r>
        <w:rPr>
          <w:rFonts w:ascii="Arial" w:cs="Arial" w:eastAsia="Arial" w:hAnsi="Arial"/>
          <w:sz w:val="20"/>
          <w:szCs w:val="20"/>
        </w:rPr>
        <w:t xml:space="preserve">Park it. Use Google Alerts + TweetDeck for now. Revisit only if I find a truly underserved angle.</w:t>
      </w:r>
    </w:p>
    <w:p>
      <w:pPr>
        <w:pStyle w:val="Heading2"/>
        <w:spacing w:before="240" w:after="120"/>
      </w:pPr>
      <w:r>
        <w:rPr>
          <w:rFonts w:ascii="Arial" w:cs="Arial" w:eastAsia="Arial" w:hAnsi="Arial"/>
          <w:b/>
          <w:bCs/>
          <w:color w:val="2E4057"/>
          <w:sz w:val="24"/>
          <w:szCs w:val="24"/>
        </w:rPr>
        <w:t xml:space="preserve">5. Assessment Wizard</w:t>
      </w:r>
    </w:p>
    <w:p>
      <w:pPr>
        <w:spacing w:after="120"/>
      </w:pPr>
      <w:r>
        <w:rPr>
          <w:rFonts w:ascii="Arial" w:cs="Arial" w:eastAsia="Arial" w:hAnsi="Arial"/>
          <w:sz w:val="20"/>
          <w:szCs w:val="20"/>
        </w:rPr>
        <w:t xml:space="preserve">Dashboard and analysis pipeline for academic programme evaluators. Could help evaluators at competency-based programmes (like WGU’s model) track assessment patterns, calibrate scoring, and generate reports.</w:t>
      </w:r>
    </w:p>
    <w:p>
      <w:pPr>
        <w:pStyle w:val="ListParagraph"/>
        <w:numPr>
          <w:ilvl w:val="0"/>
          <w:numId w:val="2"/>
        </w:numPr>
        <w:spacing w:after="80"/>
      </w:pPr>
      <w:r>
        <w:rPr>
          <w:rFonts w:ascii="Arial" w:cs="Arial" w:eastAsia="Arial" w:hAnsi="Arial"/>
          <w:b/>
          <w:bCs/>
          <w:sz w:val="20"/>
          <w:szCs w:val="20"/>
        </w:rPr>
        <w:t xml:space="preserve">Origin: </w:t>
      </w:r>
      <w:r>
        <w:rPr>
          <w:rFonts w:ascii="Arial" w:cs="Arial" w:eastAsia="Arial" w:hAnsi="Arial"/>
          <w:sz w:val="20"/>
          <w:szCs w:val="20"/>
        </w:rPr>
        <w:t xml:space="preserve">My experience as a WGU Data Analytics evaluator. I see the inefficiencies firsthand.</w:t>
      </w:r>
    </w:p>
    <w:p>
      <w:pPr>
        <w:pStyle w:val="ListParagraph"/>
        <w:numPr>
          <w:ilvl w:val="0"/>
          <w:numId w:val="2"/>
        </w:numPr>
        <w:spacing w:after="80"/>
      </w:pPr>
      <w:r>
        <w:rPr>
          <w:rFonts w:ascii="Arial" w:cs="Arial" w:eastAsia="Arial" w:hAnsi="Arial"/>
          <w:b/>
          <w:bCs/>
          <w:sz w:val="20"/>
          <w:szCs w:val="20"/>
        </w:rPr>
        <w:t xml:space="preserve">Important constraint: </w:t>
      </w:r>
      <w:r>
        <w:rPr>
          <w:rFonts w:ascii="Arial" w:cs="Arial" w:eastAsia="Arial" w:hAnsi="Arial"/>
          <w:sz w:val="20"/>
          <w:szCs w:val="20"/>
        </w:rPr>
        <w:t xml:space="preserve">Must NOT specifically target WGU or its employees as customers. The tool should be generalisable to any competency-based assessment programme.</w:t>
      </w:r>
    </w:p>
    <w:p>
      <w:pPr>
        <w:pStyle w:val="ListParagraph"/>
        <w:numPr>
          <w:ilvl w:val="0"/>
          <w:numId w:val="2"/>
        </w:numPr>
        <w:spacing w:after="80"/>
      </w:pPr>
      <w:r>
        <w:rPr>
          <w:rFonts w:ascii="Arial" w:cs="Arial" w:eastAsia="Arial" w:hAnsi="Arial"/>
          <w:b/>
          <w:bCs/>
          <w:sz w:val="20"/>
          <w:szCs w:val="20"/>
        </w:rPr>
        <w:t xml:space="preserve">Differentiator: </w:t>
      </w:r>
      <w:r>
        <w:rPr>
          <w:rFonts w:ascii="Arial" w:cs="Arial" w:eastAsia="Arial" w:hAnsi="Arial"/>
          <w:sz w:val="20"/>
          <w:szCs w:val="20"/>
        </w:rPr>
        <w:t xml:space="preserve">Most LMS tools focus on the student experience. Very few tools exist for the evaluator workflow specifically.</w:t>
      </w:r>
    </w:p>
    <w:p>
      <w:pPr>
        <w:pStyle w:val="ListParagraph"/>
        <w:numPr>
          <w:ilvl w:val="0"/>
          <w:numId w:val="2"/>
        </w:numPr>
        <w:spacing w:after="80"/>
      </w:pPr>
      <w:r>
        <w:rPr>
          <w:rFonts w:ascii="Arial" w:cs="Arial" w:eastAsia="Arial" w:hAnsi="Arial"/>
          <w:b/>
          <w:bCs/>
          <w:sz w:val="20"/>
          <w:szCs w:val="20"/>
        </w:rPr>
        <w:t xml:space="preserve">Key risk: </w:t>
      </w:r>
      <w:r>
        <w:rPr>
          <w:rFonts w:ascii="Arial" w:cs="Arial" w:eastAsia="Arial" w:hAnsi="Arial"/>
          <w:sz w:val="20"/>
          <w:szCs w:val="20"/>
        </w:rPr>
        <w:t xml:space="preserve">Market size is uncertain. How many institutions use competency-based evaluation at scale?</w:t>
      </w:r>
    </w:p>
    <w:p>
      <w:pPr>
        <w:pStyle w:val="ListParagraph"/>
        <w:numPr>
          <w:ilvl w:val="0"/>
          <w:numId w:val="2"/>
        </w:numPr>
        <w:spacing w:after="80"/>
      </w:pPr>
      <w:r>
        <w:rPr>
          <w:rFonts w:ascii="Arial" w:cs="Arial" w:eastAsia="Arial" w:hAnsi="Arial"/>
          <w:b/>
          <w:bCs/>
          <w:sz w:val="20"/>
          <w:szCs w:val="20"/>
        </w:rPr>
        <w:t xml:space="preserve">Verdict: </w:t>
      </w:r>
      <w:r>
        <w:rPr>
          <w:rFonts w:ascii="Arial" w:cs="Arial" w:eastAsia="Arial" w:hAnsi="Arial"/>
          <w:sz w:val="20"/>
          <w:szCs w:val="20"/>
        </w:rPr>
        <w:t xml:space="preserve">Worth exploring after WritingPAD revenue covers API costs. Low-priority until then.</w:t>
      </w:r>
    </w:p>
    <w:p>
      <w:pPr>
        <w:pStyle w:val="Heading2"/>
        <w:spacing w:before="240" w:after="120"/>
      </w:pPr>
      <w:r>
        <w:rPr>
          <w:rFonts w:ascii="Arial" w:cs="Arial" w:eastAsia="Arial" w:hAnsi="Arial"/>
          <w:b/>
          <w:bCs/>
          <w:color w:val="2E4057"/>
          <w:sz w:val="24"/>
          <w:szCs w:val="24"/>
        </w:rPr>
        <w:t xml:space="preserve">6. Faculty Wizard (USA)</w:t>
      </w:r>
    </w:p>
    <w:p>
      <w:pPr>
        <w:spacing w:after="120"/>
      </w:pPr>
      <w:r>
        <w:rPr>
          <w:rFonts w:ascii="Arial" w:cs="Arial" w:eastAsia="Arial" w:hAnsi="Arial"/>
          <w:sz w:val="20"/>
          <w:szCs w:val="20"/>
        </w:rPr>
        <w:t xml:space="preserve">The original product concept — helping US nursing faculty with clinical evaluation documentation. WritingPAD was deliberately separated and launched first as a simpler, more focused product.</w:t>
      </w:r>
    </w:p>
    <w:p>
      <w:pPr>
        <w:pStyle w:val="ListParagraph"/>
        <w:numPr>
          <w:ilvl w:val="0"/>
          <w:numId w:val="2"/>
        </w:numPr>
        <w:spacing w:after="80"/>
      </w:pPr>
      <w:r>
        <w:rPr>
          <w:rFonts w:ascii="Arial" w:cs="Arial" w:eastAsia="Arial" w:hAnsi="Arial"/>
          <w:b/>
          <w:bCs/>
          <w:sz w:val="20"/>
          <w:szCs w:val="20"/>
        </w:rPr>
        <w:t xml:space="preserve">Status: </w:t>
      </w:r>
      <w:r>
        <w:rPr>
          <w:rFonts w:ascii="Arial" w:cs="Arial" w:eastAsia="Arial" w:hAnsi="Arial"/>
          <w:sz w:val="20"/>
          <w:szCs w:val="20"/>
        </w:rPr>
        <w:t xml:space="preserve">Deferred. WritingPAD’s success (or failure) will inform whether and how to launch this.</w:t>
      </w:r>
    </w:p>
    <w:p>
      <w:pPr>
        <w:pStyle w:val="ListParagraph"/>
        <w:numPr>
          <w:ilvl w:val="0"/>
          <w:numId w:val="2"/>
        </w:numPr>
        <w:spacing w:after="80"/>
      </w:pPr>
      <w:r>
        <w:rPr>
          <w:rFonts w:ascii="Arial" w:cs="Arial" w:eastAsia="Arial" w:hAnsi="Arial"/>
          <w:b/>
          <w:bCs/>
          <w:sz w:val="20"/>
          <w:szCs w:val="20"/>
        </w:rPr>
        <w:t xml:space="preserve">Relationship to WritingPAD: </w:t>
      </w:r>
      <w:r>
        <w:rPr>
          <w:rFonts w:ascii="Arial" w:cs="Arial" w:eastAsia="Arial" w:hAnsi="Arial"/>
          <w:sz w:val="20"/>
          <w:szCs w:val="20"/>
        </w:rPr>
        <w:t xml:space="preserve">WritingPAD justifies Faculty Wizard, not the other way around. Independent products, independent domains, independent billing. Both under ML Upskill Agents UG.</w:t>
      </w:r>
    </w:p>
    <w:p>
      <w:pPr>
        <w:pStyle w:val="Heading2"/>
        <w:spacing w:before="240" w:after="120"/>
      </w:pPr>
      <w:r>
        <w:rPr>
          <w:rFonts w:ascii="Arial" w:cs="Arial" w:eastAsia="Arial" w:hAnsi="Arial"/>
          <w:b/>
          <w:bCs/>
          <w:color w:val="2E4057"/>
          <w:sz w:val="24"/>
          <w:szCs w:val="24"/>
        </w:rPr>
        <w:t xml:space="preserve">7. Conference Kit Generator</w:t>
      </w:r>
    </w:p>
    <w:p>
      <w:pPr>
        <w:spacing w:after="120"/>
      </w:pPr>
      <w:r>
        <w:rPr>
          <w:rFonts w:ascii="Arial" w:cs="Arial" w:eastAsia="Arial" w:hAnsi="Arial"/>
          <w:sz w:val="20"/>
          <w:szCs w:val="20"/>
        </w:rPr>
        <w:t xml:space="preserve">Internal tool that takes a product name, tagline, QR URL, brand colours, and logo, and generates print-ready PDFs for bookmark cards, tote bag artwork, lanyard tags, and delegate bag inserts.</w:t>
      </w:r>
    </w:p>
    <w:p>
      <w:pPr>
        <w:pStyle w:val="ListParagraph"/>
        <w:numPr>
          <w:ilvl w:val="0"/>
          <w:numId w:val="2"/>
        </w:numPr>
        <w:spacing w:after="80"/>
      </w:pPr>
      <w:r>
        <w:rPr>
          <w:rFonts w:ascii="Arial" w:cs="Arial" w:eastAsia="Arial" w:hAnsi="Arial"/>
          <w:b/>
          <w:bCs/>
          <w:sz w:val="20"/>
          <w:szCs w:val="20"/>
        </w:rPr>
        <w:t xml:space="preserve">Origin: </w:t>
      </w:r>
      <w:r>
        <w:rPr>
          <w:rFonts w:ascii="Arial" w:cs="Arial" w:eastAsia="Arial" w:hAnsi="Arial"/>
          <w:sz w:val="20"/>
          <w:szCs w:val="20"/>
        </w:rPr>
        <w:t xml:space="preserve">Built one-off scripts to generate WritingPAD and ProPrecept conference materials. Could be generalised.</w:t>
      </w:r>
    </w:p>
    <w:p>
      <w:pPr>
        <w:pStyle w:val="ListParagraph"/>
        <w:numPr>
          <w:ilvl w:val="0"/>
          <w:numId w:val="2"/>
        </w:numPr>
        <w:spacing w:after="80"/>
      </w:pPr>
      <w:r>
        <w:rPr>
          <w:rFonts w:ascii="Arial" w:cs="Arial" w:eastAsia="Arial" w:hAnsi="Arial"/>
          <w:b/>
          <w:bCs/>
          <w:sz w:val="20"/>
          <w:szCs w:val="20"/>
        </w:rPr>
        <w:t xml:space="preserve">Viability concern: </w:t>
      </w:r>
      <w:r>
        <w:rPr>
          <w:rFonts w:ascii="Arial" w:cs="Arial" w:eastAsia="Arial" w:hAnsi="Arial"/>
          <w:sz w:val="20"/>
          <w:szCs w:val="20"/>
        </w:rPr>
        <w:t xml:space="preserve">Not a SaaS — it’s a one-time-use tool. Canva already does most of this. Better as an internal productivity tool than a product.</w:t>
      </w:r>
    </w:p>
    <w:p>
      <w:pPr>
        <w:pStyle w:val="ListParagraph"/>
        <w:numPr>
          <w:ilvl w:val="0"/>
          <w:numId w:val="2"/>
        </w:numPr>
        <w:spacing w:after="80"/>
      </w:pPr>
      <w:r>
        <w:rPr>
          <w:rFonts w:ascii="Arial" w:cs="Arial" w:eastAsia="Arial" w:hAnsi="Arial"/>
          <w:b/>
          <w:bCs/>
          <w:sz w:val="20"/>
          <w:szCs w:val="20"/>
        </w:rPr>
        <w:t xml:space="preserve">Verdict: </w:t>
      </w:r>
      <w:r>
        <w:rPr>
          <w:rFonts w:ascii="Arial" w:cs="Arial" w:eastAsia="Arial" w:hAnsi="Arial"/>
          <w:sz w:val="20"/>
          <w:szCs w:val="20"/>
        </w:rPr>
        <w:t xml:space="preserve">Keep as internal tooling. Don’t productise.</w:t>
      </w:r>
    </w:p>
    <w:p>
      <w:pPr>
        <w:pStyle w:val="Heading2"/>
        <w:spacing w:before="240" w:after="120"/>
      </w:pPr>
      <w:r>
        <w:rPr>
          <w:rFonts w:ascii="Arial" w:cs="Arial" w:eastAsia="Arial" w:hAnsi="Arial"/>
          <w:b/>
          <w:bCs/>
          <w:color w:val="2E4057"/>
          <w:sz w:val="24"/>
          <w:szCs w:val="24"/>
        </w:rPr>
        <w:t xml:space="preserve">8. Indie Dev Pipeline Automator</w:t>
      </w:r>
    </w:p>
    <w:p>
      <w:pPr>
        <w:spacing w:after="120"/>
      </w:pPr>
      <w:r>
        <w:rPr>
          <w:rFonts w:ascii="Arial" w:cs="Arial" w:eastAsia="Arial" w:hAnsi="Arial"/>
          <w:sz w:val="20"/>
          <w:szCs w:val="20"/>
        </w:rPr>
        <w:t xml:space="preserve">A tool (or methodology) for automating the pipeline from idea to marketable SaaS for independent developers. Could include market validation templates, localisation scaffolding, SEO seed generators, and deployment checklists.</w:t>
      </w:r>
    </w:p>
    <w:p>
      <w:pPr>
        <w:pStyle w:val="ListParagraph"/>
        <w:numPr>
          <w:ilvl w:val="0"/>
          <w:numId w:val="2"/>
        </w:numPr>
        <w:spacing w:after="80"/>
      </w:pPr>
      <w:r>
        <w:rPr>
          <w:rFonts w:ascii="Arial" w:cs="Arial" w:eastAsia="Arial" w:hAnsi="Arial"/>
          <w:b/>
          <w:bCs/>
          <w:sz w:val="20"/>
          <w:szCs w:val="20"/>
        </w:rPr>
        <w:t xml:space="preserve">Origin: </w:t>
      </w:r>
      <w:r>
        <w:rPr>
          <w:rFonts w:ascii="Arial" w:cs="Arial" w:eastAsia="Arial" w:hAnsi="Arial"/>
          <w:sz w:val="20"/>
          <w:szCs w:val="20"/>
        </w:rPr>
        <w:t xml:space="preserve">Dissertation-aligned — exploring ways to better automate the independent developer pipeline.</w:t>
      </w:r>
    </w:p>
    <w:p>
      <w:pPr>
        <w:pStyle w:val="ListParagraph"/>
        <w:numPr>
          <w:ilvl w:val="0"/>
          <w:numId w:val="2"/>
        </w:numPr>
        <w:spacing w:after="80"/>
      </w:pPr>
      <w:r>
        <w:rPr>
          <w:rFonts w:ascii="Arial" w:cs="Arial" w:eastAsia="Arial" w:hAnsi="Arial"/>
          <w:b/>
          <w:bCs/>
          <w:sz w:val="20"/>
          <w:szCs w:val="20"/>
        </w:rPr>
        <w:t xml:space="preserve">Differentiator: </w:t>
      </w:r>
      <w:r>
        <w:rPr>
          <w:rFonts w:ascii="Arial" w:cs="Arial" w:eastAsia="Arial" w:hAnsi="Arial"/>
          <w:sz w:val="20"/>
          <w:szCs w:val="20"/>
        </w:rPr>
        <w:t xml:space="preserve">Most “indie hacker” tools focus on one slice (landing pages, payment, analytics). A holistic pipeline tool that connects ideation → validation → build → launch → market is underexplored.</w:t>
      </w:r>
    </w:p>
    <w:p>
      <w:pPr>
        <w:pStyle w:val="ListParagraph"/>
        <w:numPr>
          <w:ilvl w:val="0"/>
          <w:numId w:val="2"/>
        </w:numPr>
        <w:spacing w:after="80"/>
      </w:pPr>
      <w:r>
        <w:rPr>
          <w:rFonts w:ascii="Arial" w:cs="Arial" w:eastAsia="Arial" w:hAnsi="Arial"/>
          <w:b/>
          <w:bCs/>
          <w:sz w:val="20"/>
          <w:szCs w:val="20"/>
        </w:rPr>
        <w:t xml:space="preserve">Dissertation angle: </w:t>
      </w:r>
      <w:r>
        <w:rPr>
          <w:rFonts w:ascii="Arial" w:cs="Arial" w:eastAsia="Arial" w:hAnsi="Arial"/>
          <w:sz w:val="20"/>
          <w:szCs w:val="20"/>
        </w:rPr>
        <w:t xml:space="preserve">Strong CS/Data Science fit confirmed (Feb 2026 literature review). The emerging “Agentic Software Engineering” field (He et al., ACM TOSEM 2024; Hassan et al., arXiv 2025) provides the theoretical home. Specific research threads that map to what we’re already building: (1) multi-agent debate for quality assurance (Du et al., ICML 2024) — agents that critique each other’s localisation output; (2) Governance-as-a-Service frameworks (arXiv 2508.18765) — runtime compliance enforcement across a network of localisation agents; (3) GraphCompliance (arXiv 2510.26309) — representing regulatory requirements as policy graphs and verifying agent output against them. The market-expansion skill is already a working prototype of the pipeline. A dissertation contribution could be: formalising the multi-agent architecture for automated regulatory-domain SaaS localisation, with empirical evaluation across the WritingPAD/ProPrecept country variants as case studies. Key venues: ICSE, ASE, EMNLP, ACM TOSEM.</w:t>
      </w:r>
    </w:p>
    <w:p>
      <w:pPr>
        <w:pStyle w:val="ListParagraph"/>
        <w:numPr>
          <w:ilvl w:val="0"/>
          <w:numId w:val="2"/>
        </w:numPr>
        <w:spacing w:after="80"/>
      </w:pPr>
      <w:r>
        <w:rPr>
          <w:rFonts w:ascii="Arial" w:cs="Arial" w:eastAsia="Arial" w:hAnsi="Arial"/>
          <w:b/>
          <w:bCs/>
          <w:sz w:val="20"/>
          <w:szCs w:val="20"/>
        </w:rPr>
        <w:t xml:space="preserve">Key risk: </w:t>
      </w:r>
      <w:r>
        <w:rPr>
          <w:rFonts w:ascii="Arial" w:cs="Arial" w:eastAsia="Arial" w:hAnsi="Arial"/>
          <w:sz w:val="20"/>
          <w:szCs w:val="20"/>
        </w:rPr>
        <w:t xml:space="preserve">Scope creep. This could become everything and nothing. Needs tight scoping.</w:t>
      </w:r>
    </w:p>
    <w:p>
      <w:pPr>
        <w:pStyle w:val="ListParagraph"/>
        <w:numPr>
          <w:ilvl w:val="0"/>
          <w:numId w:val="2"/>
        </w:numPr>
        <w:spacing w:after="80"/>
      </w:pPr>
      <w:r>
        <w:rPr>
          <w:rFonts w:ascii="Arial" w:cs="Arial" w:eastAsia="Arial" w:hAnsi="Arial"/>
          <w:b/>
          <w:bCs/>
          <w:sz w:val="20"/>
          <w:szCs w:val="20"/>
        </w:rPr>
        <w:t xml:space="preserve">Verdict: </w:t>
      </w:r>
      <w:r>
        <w:rPr>
          <w:rFonts w:ascii="Arial" w:cs="Arial" w:eastAsia="Arial" w:hAnsi="Arial"/>
          <w:sz w:val="20"/>
          <w:szCs w:val="20"/>
        </w:rPr>
        <w:t xml:space="preserve">Develop as part of dissertation research. Productise only if a clear, bounded tool emerges.</w:t>
      </w:r>
    </w:p>
    <w:p>
      <w:r>
        <w:br w:type="page"/>
      </w:r>
    </w:p>
    <w:p>
      <w:pPr>
        <w:pStyle w:val="Heading1"/>
        <w:spacing w:before="360" w:after="200"/>
      </w:pPr>
      <w:r>
        <w:rPr>
          <w:rFonts w:ascii="Arial" w:cs="Arial" w:eastAsia="Arial" w:hAnsi="Arial"/>
          <w:b/>
          <w:bCs/>
          <w:color w:val="1F3A5F"/>
          <w:sz w:val="28"/>
          <w:szCs w:val="28"/>
        </w:rPr>
        <w:t xml:space="preserve">Idea Capture</w:t>
      </w:r>
    </w:p>
    <w:p>
      <w:pPr>
        <w:spacing w:after="120"/>
      </w:pPr>
      <w:r>
        <w:rPr>
          <w:rFonts w:ascii="Arial" w:cs="Arial" w:eastAsia="Arial" w:hAnsi="Arial"/>
          <w:sz w:val="20"/>
          <w:szCs w:val="20"/>
        </w:rPr>
        <w:t xml:space="preserve">Drop raw ideas below as they come up. No evaluation needed at capture time — just get them written down. Move them to the pipeline section when ready to think about them properly.</w:t>
      </w:r>
    </w:p>
    <w:p>
      <w:pPr>
        <w:pBdr>
          <w:bottom w:val="single" w:color="CCCCCC" w:sz="1" w:space="4"/>
        </w:pBdr>
        <w:spacing w:after="80"/>
      </w:pPr>
      <w:r>
        <w:rPr>
          <w:rFonts w:ascii="Arial" w:cs="Arial" w:eastAsia="Arial" w:hAnsi="Arial"/>
          <w:b/>
          <w:bCs/>
          <w:sz w:val="20"/>
          <w:szCs w:val="20"/>
        </w:rPr>
        <w:t xml:space="preserve">Korean Preceptor Feedback Tool (South Korea)</w:t>
      </w:r>
      <w:r>
        <w:rPr>
          <w:rFonts w:ascii="Arial" w:cs="Arial" w:eastAsia="Arial" w:hAnsi="Arial"/>
          <w:sz w:val="20"/>
          <w:szCs w:val="20"/>
        </w:rPr>
        <w:t xml:space="preserve"> — B2B tool for Korean hospital preceptors. Transforms messy mentoring notes into structured, professional feedback for new nurses during onboarding (4–8 week preceptorship programs). Korea’s new nurse turnover hit 52.4% in 2023; weak preceptorship is a documented driver. Japan cut first-year turnover to &lt;8% with a national preceptor support program — Korea has no equivalent. Hospitals would deploy this to preceptors as a retention intervention. NOT a WritingPAD port (Korean clinical assessment is checklist-based, not narrative); this is a different product targeting the onboarding/mentoring pain point. Bigger vision: could go beyond just reformatting notes and implement its own research-backed feedback formula — essentially creating an ML Upskill Agents mini-ePAD that structures what new nurses actually need to hear (specific, actionable, competency-anchored feedback rather than vague encouragement). Korea has no standardised national assessment document for preceptorship, which means the tool could define the feedback structure itself rather than conforming to one. That’s a moat: the product becomes the de facto feedback standard, not just a formatter for an existing one. Requires Korean-language UI. Think of it as “PreceptorPAD” — same prompt-contract architecture, different use case. If DoDEA ever posts the family to Korea, on-the-ground research access would be a major advantage. Added Feb 2026.</w:t>
      </w:r>
    </w:p>
    <w:p>
      <w:pPr>
        <w:pBdr>
          <w:bottom w:val="single" w:color="CCCCCC" w:sz="1" w:space="4"/>
        </w:pBdr>
        <w:spacing w:after="80"/>
      </w:pPr>
      <w:r>
        <w:rPr>
          <w:rFonts w:ascii="Arial" w:cs="Arial" w:eastAsia="Arial" w:hAnsi="Arial"/>
          <w:b/>
          <w:bCs/>
          <w:sz w:val="20"/>
          <w:szCs w:val="20"/>
        </w:rPr>
        <w:t xml:space="preserve">Korean Nurse Retention Dashboard (South Korea)</w:t>
      </w:r>
      <w:r>
        <w:rPr>
          <w:rFonts w:ascii="Arial" w:cs="Arial" w:eastAsia="Arial" w:hAnsi="Arial"/>
          <w:sz w:val="20"/>
          <w:szCs w:val="20"/>
        </w:rPr>
        <w:t xml:space="preserve"> — Data-driven retention risk dashboard for Korean hospital administrators. Aggregates shift patterns, preceptor feedback sentiment, workload metrics, and tenure data to flag at-risk new nurses before they quit. Multiple Korean ML studies (2023–2025) have validated prediction models (one hit 98.9% accuracy on 1-year turnover) but none have been productised. US competitors (Laudio, SE Healthcare, Inovalon) serve only enterprise US hospitals at $500K+ contracts; zero players in Asia. MVP could be a CSV-upload tool that produces monthly retention risk reports rather than requiring deep EHR integration. Aligns with data science skills and dissertation interest in automating developer-to-product pipelines (Korean ML papers as input, productised dashboard as output, automation of that translation as research contribution). Requires Korean-language UI and hospital relationships. Added Feb 2026.</w:t>
      </w:r>
    </w:p>
    <w:p>
      <w:pPr>
        <w:pBdr>
          <w:bottom w:val="single" w:color="CCCCCC" w:sz="1" w:space="4"/>
        </w:pBdr>
        <w:spacing w:after="80"/>
      </w:pPr>
      <w:r>
        <w:rPr>
          <w:rFonts w:ascii="Arial" w:cs="Arial" w:eastAsia="Arial" w:hAnsi="Arial"/>
          <w:b/>
          <w:bCs/>
          <w:sz w:val="20"/>
          <w:szCs w:val="20"/>
        </w:rPr>
        <w:t xml:space="preserve">Market-Entry Playbook Tool (Ed-Tech / Regulated SaaS)</w:t>
      </w:r>
      <w:r>
        <w:rPr>
          <w:rFonts w:ascii="Arial" w:cs="Arial" w:eastAsia="Arial" w:hAnsi="Arial"/>
          <w:sz w:val="20"/>
          <w:szCs w:val="20"/>
        </w:rPr>
        <w:t xml:space="preserve"> — A guided tool that takes an existing SaaS product and a target country, then produces a structured localisation report covering: regulatory body mapping (who governs the profession), terminology audit (what words change), legal adaptation checklist (data protection law, consumer protection, VAT/tax, electronic transactions), assessment type classification (how the target country structures clinical or competency assessments), content strategy (SEO keywords, blog topics, and domain registration guidance), and a deployment checklist. Origin: emerged directly from the ProPrecept RSA localisation work, where we built a market-expansion skill that can scaffold a country variant in hours and a detailed RSA-Localisation-Summary.md that documents 8 localisation axes. The repeatable pattern — regulatory mapping, assessment type classification, legal adaptation, terminology audit, SEO seeding — is already proven across UK, Ireland, Australia, and South Africa variants. What would we sell? Two possible shapes: (1) a self-service SaaS where indie developers or small ed-tech companies input their product domain and target country, answer guided questions, and receive a structured market-entry report with regulatory research, legal checklist, and localisation plan — subscription at $29–$49/month for ongoing access to country research updates, or per-report pricing at $99–$199 per country; (2) a “localisation-as-a-service” consulting package where the tool generates the playbook and we review/customise it, targeting $500–$2,000 per engagement. The self-service version is more aligned with low-maintenance micro-SaaS goals. Niche defensibility is medium — the regulatory research and assessment-type taxonomy are the moat, not the tool itself. Strongest angle: vertical focus on regulated professions (nursing, teaching, allied health) where localisation requires deep domain knowledge, not just translation. Dissertation-aligned: the tool itself is an instance of automating the indie developer pipeline, and the country-specific regulatory datasets could be a research contribution. Key risk: market size for “indie developers expanding regulated SaaS internationally” may be very small. Broader framing as “international compliance playbook for small software companies” might work but dilutes the niche. Added Feb 2026.</w:t>
      </w:r>
    </w:p>
    <w:p>
      <w:pPr>
        <w:pBdr>
          <w:bottom w:val="single" w:color="CCCCCC" w:sz="1" w:space="4"/>
        </w:pBdr>
        <w:spacing w:after="80"/>
      </w:pPr>
      <w:r>
        <w:rPr>
          <w:rFonts w:ascii="Arial" w:cs="Arial" w:eastAsia="Arial" w:hAnsi="Arial"/>
          <w:sz w:val="20"/>
          <w:szCs w:val="20"/>
        </w:rPr>
        <w:t xml:space="preserve"> </w:t>
      </w:r>
    </w:p>
    <w:p>
      <w:pPr>
        <w:pBdr>
          <w:bottom w:val="single" w:color="CCCCCC" w:sz="1" w:space="4"/>
        </w:pBdr>
        <w:spacing w:after="80"/>
      </w:pPr>
      <w:r>
        <w:rPr>
          <w:rFonts w:ascii="Arial" w:cs="Arial" w:eastAsia="Arial" w:hAnsi="Arial"/>
          <w:sz w:val="20"/>
          <w:szCs w:val="20"/>
        </w:rPr>
        <w:t xml:space="preserve"> </w:t>
      </w:r>
    </w:p>
    <w:p>
      <w:pPr>
        <w:pBdr>
          <w:bottom w:val="single" w:color="CCCCCC" w:sz="1" w:space="4"/>
        </w:pBdr>
        <w:spacing w:after="8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Prompt Contract QA Tool (Developer Tooling)</w:t>
      </w:r>
      <w:r>
        <w:rPr>
          <w:rFonts w:ascii="Arial" w:cs="Arial" w:eastAsia="Arial" w:hAnsi="Arial"/>
          <w:sz w:val="20"/>
          <w:szCs w:val="20"/>
        </w:rPr>
        <w:t xml:space="preserve"> — CI/CD for prompt contracts. Upload a system prompt and a set of test cases (input text + validation rules: required/forbidden terms, structural checks, fallback conditions, PII categories). The tool runs each test case through the target LLM, validates the output against the rules, and produces a regression report with pass/fail, failure categorisation, and suggested contract patches. Origin: ProPrecept Ireland QA gauntlet (Feb 2026), where a 28-case test harness iterated a prompt contract from 64% to 100% adjusted pass rate in three runs — testing PII stripping, emotional language removal, terminology compliance, fallback logic, prompt injection resistance, bias detection, and voice transcription artifact handling. The test framework is domain-agnostic: any team deploying domain-specific LLM applications (legal tech, health tech, ed tech, fintech) could use it. Revenue model: per-contract monthly subscription + usage-based API metering. Niche defensibility is high — the failure taxonomy (fallback confusion, term dropping, emotional leakage, PII leakage, bias pass-through, injection vulnerability) and the automated patch suggestion engine are the moat. Effort to MVP is low (working prototype already exists as a Python script). Doubles as a dissertation contribution (see Seed 6 in dissertation-seeds.md). Added Feb 2026.</w:t>
      </w:r>
    </w:p>
    <w:p>
      <w:pPr>
        <w:pBdr>
          <w:bottom w:val="single" w:color="CCCCCC" w:sz="1" w:space="4"/>
        </w:pBdr>
        <w:spacing w:after="80"/>
      </w:pPr>
      <w:r>
        <w:rPr>
          <w:rFonts w:ascii="Arial" w:cs="Arial" w:eastAsia="Arial" w:hAnsi="Arial"/>
          <w:sz w:val="20"/>
          <w:szCs w:val="20"/>
        </w:rPr>
        <w:t xml:space="preserve"> </w:t>
      </w:r>
    </w:p>
    <w:p>
      <w:pPr>
        <w:pStyle w:val="Normal"/>
        <w:spacing w:before="240" w:after="120"/>
      </w:pPr>
      <w:r>
        <w:rPr>
          <w:rFonts w:ascii="Arial" w:cs="Arial" w:eastAsia="Arial" w:hAnsi="Arial"/>
          <w:b/>
          <w:sz w:val="22"/>
          <w:szCs w:val="22"/>
        </w:rPr>
        <w:t xml:space="preserve">Local Secure Care Plan Generator (Nursing / Clinical)</w:t>
      </w:r>
      <w:r>
        <w:rPr>
          <w:rFonts w:ascii="Arial" w:cs="Arial" w:eastAsia="Arial" w:hAnsi="Arial"/>
          <w:sz w:val="22"/>
          <w:szCs w:val="22"/>
        </w:rPr>
        <w:t xml:space="preserve"> — A 100% on-device, privacy-preserving AI care plan generator running on commodity hardware (Beelink GTR9 Pro or similar). Takes patient assessment data input locally, generates NANDA-I / NIC / NOC-structured care plans grounded in specific institutional P&amp;P manuals and regulatory frameworks (NMC, SANC, NMBI). Multi-agent architecture: one agent drafts the plan, a second verifies NANDA/NIC/NOC compliance, a third checks regulatory alignment — all running as quantised SLMs locally via llama.cpp. Patient data never leaves the device. Closest existing system: OPTiM/Oda Hospital (Japan, 2025) built on-premises nursing care summary generation (Dove Press, 2025), but that generates summaries not full care plans, is Japanese-only, and requires hospital IT infrastructure. Nobody has built an affordable, multi-agent, regulatory-grounded care plan generator on sub-$1000 hardware. Target customers: small/rural hospitals, home health agencies (nurses create care plans on laptops at patient homes), nursing education programmes, and military/DoD healthcare facilities with strict security requirements. Revenue model: software license $199/mo or hardware bundle at $999 + $99/mo. NANDA-I taxonomy is copyrighted (Thieme Medical Publishers) so the system indexes the user’s own copy rather than redistributing. Dissertation-aligned: directly generalises the grounded multi-agent governance architecture from Paper 1 (localization compliance) to clinical documentation compliance — strengthens contribution claim by showing framework transfers across domains. See dissertation/ideas/local-care-plan-generator/research-notes.md for full feasibility study. Added Feb 28, 2026.</w:t>
      </w:r>
    </w:p>
    <w:p>
      <w:pPr>
        <w:pStyle w:val="Normal"/>
        <w:spacing w:before="240" w:after="120"/>
      </w:pPr>
      <w:r>
        <w:rPr>
          <w:rFonts w:ascii="Arial" w:cs="Arial" w:eastAsia="Arial" w:hAnsi="Arial"/>
          <w:b/>
          <w:sz w:val="22"/>
          <w:szCs w:val="22"/>
        </w:rPr>
        <w:t xml:space="preserve">Compliance Agent Forge (Developer / Enterprise Tooling)</w:t>
      </w:r>
      <w:r>
        <w:rPr>
          <w:rFonts w:ascii="Arial" w:cs="Arial" w:eastAsia="Arial" w:hAnsi="Arial"/>
          <w:sz w:val="22"/>
          <w:szCs w:val="22"/>
        </w:rPr>
        <w:t xml:space="preserve"> — Upload regulatory documents, system auto-generates training data via Claude/GPT-4 teacher model, fine-tunes specialised 7-8B SLM agents via QLoRA, and deploys them locally as a custom “compliance debate team.” Each small model becomes an expert in one compliance dimension (terminology, citations, cross-framework contamination) rather than a generalist. Customer gets a tailored regulatory compliance engine running entirely on their own hardware. Pricing: $499 per regulatory framework fine-tune + $99/mo for model updates. Dissertation-aligned: extends Paper 1’s grounded debate to distilled specialist agents. Added Feb 28, 2026.</w:t>
      </w:r>
    </w:p>
    <w:p>
      <w:pPr>
        <w:spacing w:before="240" w:after="120"/>
      </w:pPr>
      <w:r>
        <w:rPr>
          <w:rFonts w:ascii="Arial" w:cs="Arial" w:eastAsia="Arial" w:hAnsi="Arial"/>
          <w:b/>
          <w:sz w:val="22"/>
          <w:szCs w:val="22"/>
        </w:rPr>
        <w:t xml:space="preserve">IEP Advocate (USA / UK)</w:t>
      </w:r>
      <w:r>
        <w:rPr>
          <w:rFonts w:ascii="Arial" w:cs="Arial" w:eastAsia="Arial" w:hAnsi="Arial"/>
          <w:sz w:val="22"/>
          <w:szCs w:val="22"/>
        </w:rPr>
        <w:t xml:space="preserve"> — Privacy-first AI tool that helps parents of children with disabilities review Individualized Education Programs (IEPs) and Section 504 Plans against IDEA federal law, state-specific special education regulations, and the child’s own documents. Multi-agent debate architecture: Agent 1 (compliance checker) verifies required components and procedural safeguards against 34 CFR Part 300 + state code; Agent 2 (goal quality analyser) checks goals are SMART, measurable, and aligned with present levels; Agent 3 (services reviewer) evaluates service adequacy, frequency, and LRE placement. Judge synthesises into a parent-friendly report with regulatory citations. Key differentiators: (1) parent-side focus — no competitor combines multi-agent + regulatory grounding + privacy for parents; (2) state-specific analysis via per-state regulatory packages loaded into RAG; (3) local processing option (child’s disability records never leave the device); (4) DoDEA support for military families. Market: 7.5M active IEPs + 3–4M 504 plans in the US, ~500K EHCPs in the UK. Closest competitor is Arloa (cloud-only, single-agent, early-stage). Revenue model: Free (1 review/mo, federal only), Parent ($24.99/mo, state-specific), Advocate Pro ($79.99/mo, multi-client), Institutional ($499/mo, DoDEA/advocacy orgs). Niche defensibility: HIGH — per-state regulatory packages + privacy architecture + multi-agent debate. Dissertation-aligned: IEP compliance is the second evaluation domain for the REGAL grounded debate framework (Paper 2 / Chapter 4). Personal connection: wife works DoDEA, 4 children. Added Mar 1, 2026.</w:t>
      </w:r>
    </w:p>
    <w:p>
      <w:pPr>
        <w:spacing w:before="240" w:after="120"/>
      </w:pPr>
      <w:r>
        <w:rPr>
          <w:rFonts w:ascii="Arial" w:cs="Arial" w:eastAsia="Arial" w:hAnsi="Arial"/>
          <w:b/>
          <w:sz w:val="22"/>
          <w:szCs w:val="22"/>
        </w:rPr>
        <w:t xml:space="preserve">Jurisdiction-Aware Compliance Documentation Assistant (Multi-Domain)</w:t>
      </w:r>
      <w:r>
        <w:rPr>
          <w:rFonts w:ascii="Arial" w:cs="Arial" w:eastAsia="Arial" w:hAnsi="Arial"/>
          <w:sz w:val="22"/>
          <w:szCs w:val="22"/>
        </w:rPr>
        <w:t xml:space="preserve"> — A compliance documentation assistant that auto-applies the correct jurisdiction-specific legal framework based on the user’s location and regulated domain. The tool ingests regulatory documents for each jurisdiction, then helps professionals generate, review, or transform documentation that cites the correct local statute, uses the correct local terminology, and meets the correct local procedural requirements — without the user needing to know which rules apply.</w:t>
      </w:r>
    </w:p>
    <w:p>
      <w:pPr>
        <w:spacing w:before="120" w:after="60"/>
      </w:pPr>
      <w:r>
        <w:rPr>
          <w:rFonts w:ascii="Arial" w:cs="Arial" w:eastAsia="Arial" w:hAnsi="Arial"/>
          <w:sz w:val="22"/>
          <w:szCs w:val="22"/>
        </w:rPr>
        <w:t xml:space="preserve">Origin: Emerged from ProPrecept Australia localisation work (March 2026). Australian mental health legislation varies by state/territory — Victoria uses the Mental Health and Wellbeing Act 2022 with Temporary Treatment Orders; NSW uses the Mental Health Act 2007 with Community Treatment Orders; Queensland uses the Mental Health Act 2016 with Treatment Authorities. A clinical facilitator in Melbourne documenting a student’s mental health placement needs different legal terminology than one in Sydney. The same pattern exists across aged care (post-Royal Commission reforms vary by state implementation timeline), child protection (each state has its own Act), and disability services (NDIS is federal but state-administered). This is not unique to Australia — the US has the same fragmentation (50 state education codes above IDEA, state mental health Acts, state nurse practice Acts), and the UK has England/Wales/Scotland/Northern Ireland divergence in health and social care law.</w:t>
      </w:r>
    </w:p>
    <w:p>
      <w:pPr>
        <w:spacing w:before="120" w:after="60"/>
      </w:pPr>
      <w:r>
        <w:rPr>
          <w:rFonts w:ascii="Arial" w:cs="Arial" w:eastAsia="Arial" w:hAnsi="Arial"/>
          <w:sz w:val="22"/>
          <w:szCs w:val="22"/>
        </w:rPr>
        <w:t xml:space="preserve">Connection to existing work: This is not a new product — it is a generalisation of the architecture we are already building. The GRUND framework (ehcpaudit-app, iepchecker-app, dissertation) already implements jurisdiction-pluggable multi-agent compliance analysis: swap the RAG corpus and the same three-agent-plus-judge debate architecture works for UK EHCPs (Children and Families Act 2014 + SEND Code of Practice), US IEPs (34 CFR Part 300 + per-state education codes), and theoretically any regulated domain. The IEP Checker already loads per-state regulatory packages (Florida’s transition-at-14 rule, Texas’s autism supplement, California’s recording rights) into the RAG layer. ProPrecept Australia’s test cases (TC-AU-1032: Victorian Mental Health and Wellbeing Act 2022) demonstrate the same sub-national jurisdiction fragmentation pattern in nursing.</w:t>
      </w:r>
    </w:p>
    <w:p>
      <w:pPr>
        <w:spacing w:before="120" w:after="60"/>
      </w:pPr>
      <w:r>
        <w:rPr>
          <w:rFonts w:ascii="Arial" w:cs="Arial" w:eastAsia="Arial" w:hAnsi="Arial"/>
          <w:sz w:val="22"/>
          <w:szCs w:val="22"/>
        </w:rPr>
        <w:t xml:space="preserve">The insight: The GRUND multi-agent debate framework is already a jurisdiction-aware compliance engine. What’s missing is the explicit productisation of the jurisdiction-selection layer as a standalone capability. Today, each product (WritingPAD, ProPrecept AU, EHCP Checker, IEP Checker) hard-codes its regulatory corpus. A generalised version would let the user select their jurisdiction (or auto-detect it) and dynamically load the relevant regulatory package. This is the “Compliance Agent Forge” idea (already in this document) taken one step further: instead of fine-tuning specialist SLMs per regulatory framework, use the existing RAG-grounded debate architecture with swappable corpus packages.</w:t>
      </w:r>
    </w:p>
    <w:p>
      <w:pPr>
        <w:spacing w:before="120" w:after="60"/>
      </w:pPr>
      <w:r>
        <w:rPr>
          <w:rFonts w:ascii="Arial" w:cs="Arial" w:eastAsia="Arial" w:hAnsi="Arial"/>
          <w:sz w:val="22"/>
          <w:szCs w:val="22"/>
        </w:rPr>
        <w:t xml:space="preserve">Adjacent domains where this pattern applies: (1) Aged care documentation — post-Royal Commission reforms in Australia (AN-ACC, minimum care minutes, 24/7 RN staffing) vary by state implementation timeline; UK has CQC standards; US has CMS Conditions of Participation with state survey agency variation. (2) Mental health documentation — involuntary treatment legislation varies by state/territory/country; documentation requirements for treatment orders differ significantly. (3) Child protection — mandatory reporting thresholds and documentation requirements vary by jurisdiction. (4) Disability services — NDIS (Australia), IDEA/504 (US), SEND (UK) all have sub-national implementation variation. (5) Building code compliance — Florida HB 683 mandates software-assisted plan review; each state adopts different editions of IBC/IRC with local amendments.</w:t>
      </w:r>
    </w:p>
    <w:p>
      <w:pPr>
        <w:spacing w:before="120" w:after="60"/>
      </w:pPr>
      <w:r>
        <w:rPr>
          <w:rFonts w:ascii="Arial" w:cs="Arial" w:eastAsia="Arial" w:hAnsi="Arial"/>
          <w:sz w:val="22"/>
          <w:szCs w:val="22"/>
        </w:rPr>
        <w:t xml:space="preserve">Strategic recommendation: Do NOT build this as a standalone product now. Instead, treat it as a design principle for all GRUND-based products: every product should have a jurisdiction-selection layer that dynamically loads the correct regulatory package. This means: (a) the IEP Checker’s per-state RAG packages are already the right pattern — extend this to ProPrecept (per-state/territory nursing legislation packages for Australia) and EHCP Checker (England vs Wales vs Scotland divergence); (b) when the GRUND framework is mature enough to extract as a library or platform (post-dissertation), the jurisdiction-pluggable architecture IS the product — “bring your regulatory corpus, get a multi-agent compliance engine”; (c) this directly strengthens the dissertation’s domain-invariance claim (RQ4) because it demonstrates the same architectural pattern working across not just domains (education, nursing, aged care) but jurisdictions within domains (Victoria vs NSW, Florida vs Texas, England vs Wales). Niche defensibility: HIGH — jurisdiction-specific regulatory corpus packages are expensive to build and maintain; each package added increases the moat. Effort to MVP: LOW — the architecture already exists in ehcpaudit-app and iepchecker-app; this is a framing and packaging exercise, not a new build. Dissertation-aligned: directly validates the GRUND framework’s modularity claim. Added Mar 3, 2026.</w:t>
      </w:r>
    </w:p>
    <w:p>
      <w:pPr>
        <w:spacing w:before="240" w:after="120"/>
      </w:pPr>
      <w:r>
        <w:rPr>
          <w:rFonts w:ascii="Arial" w:cs="Arial" w:eastAsia="Arial" w:hAnsi="Arial"/>
          <w:b/>
          <w:bCs/>
          <w:sz w:val="22"/>
          <w:szCs w:val="22"/>
        </w:rPr>
        <w:t xml:space="preserve">International SaaS Business-in-a-Box (Developer Tooling)</w:t>
      </w:r>
      <w:r>
        <w:rPr>
          <w:rFonts w:ascii="Arial" w:cs="Arial" w:eastAsia="Arial" w:hAnsi="Arial"/>
          <w:sz w:val="22"/>
          <w:szCs w:val="22"/>
        </w:rPr>
        <w:t xml:space="preserve"> — A premium boilerplate + guide ($299–449) for solo developers selling SaaS to emerging markets (Africa, South Asia, SE Asia) using a Stripe + Wise + Vercel + Supabase + Clerk stack. Ships with: multi-currency product creation helpers (Stripe API wrappers that handle PPP-adjusted pricing), tax configuration per market (VAT rates, registration requirements, withholding tax rules), institutional/business verification flow (email domain check, accreditation list matching), prepaid subscription model (non-refundable credits, auto-suspend on payment failure), GDPR-compliant data handling with market-specific DPA compliance (SCCs baked into ToS templates), and Wise API integration for multi-currency settlement optimisation.</w:t>
      </w:r>
    </w:p>
    <w:p>
      <w:pPr>
        <w:spacing w:after="120"/>
      </w:pPr>
      <w:r>
        <w:rPr>
          <w:rFonts w:ascii="Arial" w:cs="Arial" w:eastAsia="Arial" w:hAnsi="Arial"/>
          <w:sz w:val="22"/>
          <w:szCs w:val="22"/>
        </w:rPr>
        <w:t xml:space="preserve">Origin: Emerged from Rebeka’s expansion planning to Nigeria, Kenya, and Bangladesh (March 2026). The Stripe + Wise multi-currency pattern, the fraud-insulated self-serve rollout strategy, the tax compliance research, and the market config architecture are all real infrastructure being built for Rebeka. This is the “productise what you already know” play.</w:t>
      </w:r>
    </w:p>
    <w:p>
      <w:pPr>
        <w:spacing w:after="120"/>
      </w:pPr>
      <w:r>
        <w:rPr>
          <w:rFonts w:ascii="Arial" w:cs="Arial" w:eastAsia="Arial" w:hAnsi="Arial"/>
          <w:sz w:val="22"/>
          <w:szCs w:val="22"/>
        </w:rPr>
        <w:t xml:space="preserve">Market validation: Existing SaaS boilerplates (ShipFast at $199, SupaStarter at $349) solve “get a SaaS running” for US/EU-first products. None address multi-currency pricing, emerging market VAT/tax registration, local payment methods beyond cards, data protection across jurisdictions, or fraud prevention for low-card-penetration markets. 45.7% of SaaS makers are solo founders (Freemius 2025), ~70% earn under $1K MRR, and recurring Indie Hackers discussions show active demand: “Is it fine to accept payments in local currency for my micro SaaS?”, “Best practices for international subscriptions”, “Benefit of connecting Wise to Stripe.” Companies implementing PPP-adjusted pricing see 4.7x higher conversion in emerging markets. The micro-SaaS market is projected at $15.7B (2025) growing to $59.6B (2030).</w:t>
      </w:r>
    </w:p>
    <w:p>
      <w:pPr>
        <w:spacing w:after="120"/>
      </w:pPr>
      <w:r>
        <w:rPr>
          <w:rFonts w:ascii="Arial" w:cs="Arial" w:eastAsia="Arial" w:hAnsi="Arial"/>
          <w:sz w:val="22"/>
          <w:szCs w:val="22"/>
        </w:rPr>
        <w:t xml:space="preserve">Distinct from Market-Entry Playbook Tool: The Market-Entry Playbook is about regulatory localisation (mapping nursing/education bodies, terminology audits, assessment type classification). This product is about the business infrastructure layer underneath — payment collection, tax compliance, fraud prevention, entity structure, and ToS templates. They are complementary: a developer could use the Market-Entry Playbook to understand what to localise and the Business-in-a-Box to handle how to collect money and stay legal. If both are built, they could be bundled.</w:t>
      </w:r>
    </w:p>
    <w:p>
      <w:pPr>
        <w:spacing w:after="120"/>
      </w:pPr>
      <w:r>
        <w:rPr>
          <w:rFonts w:ascii="Arial" w:cs="Arial" w:eastAsia="Arial" w:hAnsi="Arial"/>
          <w:sz w:val="22"/>
          <w:szCs w:val="22"/>
        </w:rPr>
        <w:t xml:space="preserve">Flywheel: Every new market Rebeka/ProPrecept enters generates new content for the business-in-a-box (new tax tables, new payment method integrations, new compliance requirements), which can be sold to other developers, funding further expansion.</w:t>
      </w:r>
    </w:p>
    <w:p>
      <w:pPr>
        <w:spacing w:after="120"/>
      </w:pPr>
      <w:r>
        <w:rPr>
          <w:rFonts w:ascii="Arial" w:cs="Arial" w:eastAsia="Arial" w:hAnsi="Arial"/>
          <w:sz w:val="22"/>
          <w:szCs w:val="22"/>
        </w:rPr>
        <w:t xml:space="preserve">Credibility moat: Built from real deployment experience (actual FIRS registration, actual KRA filings, actual Stripe cross-border settlement to Wise), not theoretical research. This is the differentiator vs. someone writing a guide from desk research alone.</w:t>
      </w:r>
    </w:p>
    <w:p>
      <w:pPr>
        <w:spacing w:after="120"/>
      </w:pPr>
      <w:r>
        <w:rPr>
          <w:rFonts w:ascii="Arial" w:cs="Arial" w:eastAsia="Arial" w:hAnsi="Arial"/>
          <w:sz w:val="22"/>
          <w:szCs w:val="22"/>
        </w:rPr>
        <w:t xml:space="preserve">Key risks: (1) SaaS boilerplate market is getting crowded; (2) tax/compliance information changes frequently and requires maintenance; (3) liability risk if someone follows tax guidance incorrectly (disclaimer heavily); (4) building before Rebeka ships to RSA and expands is premature — credibility comes from having done it.</w:t>
      </w:r>
    </w:p>
    <w:p>
      <w:pPr>
        <w:spacing w:after="120"/>
      </w:pPr>
      <w:r>
        <w:rPr>
          <w:rFonts w:ascii="Arial" w:cs="Arial" w:eastAsia="Arial" w:hAnsi="Arial"/>
          <w:sz w:val="22"/>
          <w:szCs w:val="22"/>
        </w:rPr>
        <w:t xml:space="preserve">Dissertation alignment: If the dissertation explores automating the indie developer pipeline, this product is a concrete artefact — a system that encodes market expansion decisions (pricing strategy, tax compliance, payment method selection, data protection) into reusable configuration. The Rebeka market config pattern (lib/config/markets/) is a formalisation of this.</w:t>
      </w:r>
    </w:p>
    <w:p>
      <w:pPr>
        <w:spacing w:after="120"/>
      </w:pPr>
      <w:r>
        <w:rPr>
          <w:rFonts w:ascii="Arial" w:cs="Arial" w:eastAsia="Arial" w:hAnsi="Arial"/>
          <w:sz w:val="22"/>
          <w:szCs w:val="22"/>
        </w:rPr>
        <w:t xml:space="preserve">Verdict: Park as documented opportunity. Let Rebeka’s RSA pilot and Nigeria/Kenya expansion generate real-world data first. When ready (6–12 months), ship as boilerplate + guide at $349–449, marketed on Indie Hackers, MicroConf, and relevant subreddits. The market is growing ~30% annually — no first-mover penalty for waiting. Added Mar 6, 2026.</w:t>
      </w:r>
    </w:p>
    <w:p>
      <w:pPr>
        <w:spacing w:before="200" w:after="120"/>
      </w:pPr>
      <w:r>
        <w:rPr>
          <w:rFonts w:ascii="Arial" w:cs="Arial" w:eastAsia="Arial" w:hAnsi="Arial"/>
          <w:b/>
          <w:bCs/>
          <w:sz w:val="22"/>
          <w:szCs w:val="22"/>
        </w:rPr>
        <w:t xml:space="preserve">Related extension: Vendor Drift Monitor (AI Agent Template)</w:t>
      </w:r>
    </w:p>
    <w:p>
      <w:pPr>
        <w:spacing w:after="120"/>
      </w:pPr>
      <w:r>
        <w:rPr>
          <w:rFonts w:ascii="Arial" w:cs="Arial" w:eastAsia="Arial" w:hAnsi="Arial"/>
          <w:sz w:val="22"/>
          <w:szCs w:val="22"/>
        </w:rPr>
        <w:t xml:space="preserve">Origin: Emerged from the Rebeka plumbing audit (March 2026). While documenting Rebeka’s 8+ external service dependencies (Clerk, Supabase, Paddle, Stripe, Africa’s Talking, Vercel, Resend, ProPrecept) and writing a system summary for a Mistral Studio agent to audit, a clear gap appeared: existing tools handle dependency version drift (Dependabot, Renovate) and infrastructure-as-code drift (Spacelift, Terraform) well, but nothing monitors the business layer of vendor relationships — pricing changes, API version deprecations, free tier erosion, feature additions that make your custom code redundant, or reliability trends that should trigger a vendor switch.</w:t>
      </w:r>
    </w:p>
    <w:p>
      <w:pPr>
        <w:spacing w:after="120"/>
      </w:pPr>
      <w:r>
        <w:rPr>
          <w:rFonts w:ascii="Arial" w:cs="Arial" w:eastAsia="Arial" w:hAnsi="Arial"/>
          <w:sz w:val="22"/>
          <w:szCs w:val="22"/>
        </w:rPr>
        <w:t xml:space="preserve">What it does: An AI agent (built on Mistral Studio, Claude, or similar) that takes a project’s service dependency map and periodically: (1) checks vendor pricing/status pages for changes, (2) compares current dependency versions against latest, (3) flags API deprecation notices, (4) detects when a vendor adds features that make custom code redundant (e.g., “Supabase added native multi-tenant RLS — your custom implementation in lib/supabase/rls.ts may be replaceable”), (5) suggests refactoring or vendor switches when accumulated drift crosses a threshold.</w:t>
      </w:r>
    </w:p>
    <w:p>
      <w:pPr>
        <w:spacing w:after="120"/>
      </w:pPr>
      <w:r>
        <w:rPr>
          <w:rFonts w:ascii="Arial" w:cs="Arial" w:eastAsia="Arial" w:hAnsi="Arial"/>
          <w:sz w:val="22"/>
          <w:szCs w:val="22"/>
        </w:rPr>
        <w:t xml:space="preserve">Sniff test result: The gap is real but hard to monetise as a standalone SaaS. The target market (indie devs with 5–10 service dependencies) is price-sensitive and accustomed to free tooling. The data sources are messy (pricing pages, changelogs, blog posts, status pages) — scraping-and-alerting at scale is maintenance-heavy. Dependabot and Renovate are free and handle the npm-level drift well enough that developers don’t feel the business-layer gap acutely until they get burned by a surprise pricing change.</w:t>
      </w:r>
    </w:p>
    <w:p>
      <w:pPr>
        <w:spacing w:after="120"/>
      </w:pPr>
      <w:r>
        <w:rPr>
          <w:rFonts w:ascii="Arial" w:cs="Arial" w:eastAsia="Arial" w:hAnsi="Arial"/>
          <w:sz w:val="22"/>
          <w:szCs w:val="22"/>
        </w:rPr>
        <w:t xml:space="preserve">Better shape: Instead of a standalone product, package it as (a) a pre-built AI agent template for Mistral Studio or Claude that developers configure with their own dependency map — sold through an agent marketplace at $19–$49, or (b) a “vendor health” module inside the Business-in-a-Box boilerplate — a vendorHealth.ts config file that declares your service dependencies, expected pricing tiers, API versions in use, and alerting thresholds, plus a scheduled agent that checks them weekly. This way it’s not a separate product to market; it’s a feature that makes the Business-in-a-Box more valuable. The “Lighthouse for your SaaS dependency stack” framing — a per-scan report that scores your vendor health and flags drift — could work as a free lead-gen tool that funnels to the full boilerplate.</w:t>
      </w:r>
    </w:p>
    <w:p>
      <w:pPr>
        <w:spacing w:after="120"/>
      </w:pPr>
      <w:r>
        <w:rPr>
          <w:rFonts w:ascii="Arial" w:cs="Arial" w:eastAsia="Arial" w:hAnsi="Arial"/>
          <w:sz w:val="22"/>
          <w:szCs w:val="22"/>
        </w:rPr>
        <w:t xml:space="preserve">Connection to Business-in-a-Box: The boilerplate already ships multi-currency helpers, tax config, and fraud prevention. A vendor health module is the operational complement — it tells you when your infrastructure assumptions have drifted from reality. Dog-food it on Rebeka first (the Mistral Studio agent configured with Rebeka’s dependency map from docs/Rebeka-Plumbing-Summary.md). If the agent proves genuinely useful for Rebeka’s vendor decisions, that agent configuration itself becomes a sellable template. Added Mar 12, 2026.</w:t>
      </w:r>
    </w:p>
    <w:p>
      <w:pPr>
        <w:spacing w:before="360" w:after="120"/>
      </w:pPr>
      <w:r>
        <w:rPr>
          <w:rFonts w:ascii="Arial" w:cs="Arial" w:eastAsia="Arial" w:hAnsi="Arial"/>
          <w:b/>
          <w:bCs/>
          <w:color w:val="1F3A5F"/>
          <w:sz w:val="28"/>
          <w:szCs w:val="28"/>
        </w:rPr>
        <w:t xml:space="preserve">EthicalPivot (API Proxy / Developer Tooling)</w:t>
      </w:r>
    </w:p>
    <w:p>
      <w:pPr>
        <w:spacing w:after="120"/>
      </w:pPr>
      <w:r>
        <w:rPr>
          <w:rFonts w:ascii="Arial" w:cs="Arial" w:eastAsia="Arial" w:hAnsi="Arial"/>
          <w:sz w:val="22"/>
          <w:szCs w:val="22"/>
        </w:rPr>
        <w:t xml:space="preserve">Lightweight API proxy that translates OpenAI tool calling requests into Anthropic Claude format. Developers change one base_url and their existing OpenAI SDK code routes to Claude instead. Designed as a temporary stopgap for the #QuitGPT exodus following OpenAI’s Feb 28, 2026 Department of War contract. Core value is in tool calling translation (tools/functions → Claude tool_use, structured outputs, conversation history reconstruction with tool results). Covers ~80% of small-app tool calling patterns out of the box; clear GREEN/YELLOW/RED compatibility matrix tells users exactly what works and what doesn’t. Target: B2SmallBusiness — solo devs, small shops, NGOs, education orgs. Explicitly NOT enterprise (“The Banky McBankface Clause”). EU-first marketing given GDPR fears around US military AI data handling. Revenue model: BYOK (Bring Your Own Key) hosted instance at $9/mo for 50K requests, plus free self-hosted OSS option. Time-sensitive: must ship within 3 weeks to ride momentum. Full manifest at ethicalpivot-app/docs/ETHICALPIVOT-MANIFEST.md. Added Mar 9, 2026.</w:t>
      </w:r>
    </w:p>
    <w:p>
      <w:pPr>
        <w:spacing w:before="360" w:after="120"/>
      </w:pPr>
      <w:r>
        <w:rPr>
          <w:rFonts w:ascii="Arial" w:cs="Arial" w:eastAsia="Arial" w:hAnsi="Arial"/>
          <w:b/>
          <w:bCs/>
          <w:color w:val="1F3A5F"/>
          <w:sz w:val="28"/>
          <w:szCs w:val="28"/>
        </w:rPr>
        <w:t xml:space="preserve">Migration Scanner (EthicalPivot Phase 2)</w:t>
      </w:r>
    </w:p>
    <w:p>
      <w:pPr>
        <w:spacing w:after="120"/>
      </w:pPr>
      <w:r>
        <w:rPr>
          <w:rFonts w:ascii="Arial" w:cs="Arial" w:eastAsia="Arial" w:hAnsi="Arial"/>
          <w:sz w:val="22"/>
          <w:szCs w:val="22"/>
        </w:rPr>
        <w:t xml:space="preserve">A tool that analyses a GitHub repo, finds all OpenAI API calls, and produces a GREEN/YELLOW/RED compatibility report showing which calls are directly translatable via EthicalPivot, which need minor adjustments, and which require manual migration. Valuable even to developers who don’t use the proxy — and it drives traffic to the hosted instance. Natural extension of the same translation knowledge built for EthicalPivot’s core proxy. Revenue model unclear for long-term subscription (it’s a one-time-use tool per repo), but could work as: (a) per-scan pricing at $4.99–$19.99 depending on repo size, (b) a free lead-gen tool that funnels to the paid proxy, (c) a periodic re-scan subscription if the scanner also tracks migration progress over time (“you’ve migrated 60% of your calls — here’s what’s left”). The progress-tracking angle might give it subscription legs after all. Niche defensibility: medium — the compatibility matrix and translation knowledge are the moat, but static analysis of OpenAI calls is straightforward for any competent dev. Best as a marketing/funnel tool rather than a standalone product. Added Mar 9, 2026.</w:t>
      </w:r>
    </w:p>
    <w:p>
      <w:pPr>
        <w:spacing w:before="360" w:after="120"/>
      </w:pPr>
      <w:r>
        <w:rPr>
          <w:rFonts w:ascii="Arial" w:cs="Arial" w:eastAsia="Arial" w:hAnsi="Arial"/>
          <w:b/>
          <w:bCs/>
          <w:color w:val="2E4057"/>
          <w:sz w:val="28"/>
          <w:szCs w:val="28"/>
        </w:rPr>
        <w:t xml:space="preserve">Local LLM Distribution Pattern (Cross-Cutting)</w:t>
      </w:r>
    </w:p>
    <w:p>
      <w:pPr>
        <w:spacing w:after="120"/>
      </w:pPr>
      <w:r>
        <w:rPr>
          <w:rFonts w:ascii="Arial" w:cs="Arial" w:eastAsia="Arial" w:hAnsi="Arial"/>
          <w:sz w:val="22"/>
          <w:szCs w:val="22"/>
        </w:rPr>
        <w:t xml:space="preserve">A repeatable pattern, not a single product: fine-tune a small (1.5B–3B parameter) language model on a narrow domain-specific task, quantise it for consumer hardware, and distribute it as a local tool that runs entirely on the user’s device. The user’s data never leaves their machine. The model is the product.</w:t>
      </w:r>
    </w:p>
    <w:p>
      <w:pPr>
        <w:spacing w:after="120"/>
      </w:pPr>
      <w:r>
        <w:rPr>
          <w:rFonts w:ascii="Arial" w:cs="Arial" w:eastAsia="Arial" w:hAnsi="Arial"/>
          <w:sz w:val="22"/>
          <w:szCs w:val="22"/>
        </w:rPr>
        <w:t xml:space="preserve">Origin: EthicalPivot compatibility checker discussion (Mar 9, 2026). The checker uses regex for static code analysis, which works for feature detection but cannot judge how code uses those features. A fine-tuned small model could do deeper migration analysis while keeping the “your code never leaves your browser” trust promise. This generalises: any domain narrow enough for a small model to master is a candidate.</w:t>
      </w:r>
    </w:p>
    <w:p>
      <w:pPr>
        <w:spacing w:after="120"/>
      </w:pPr>
      <w:r>
        <w:rPr>
          <w:rFonts w:ascii="Arial" w:cs="Arial" w:eastAsia="Arial" w:hAnsi="Arial"/>
          <w:sz w:val="22"/>
          <w:szCs w:val="22"/>
        </w:rPr>
        <w:t xml:space="preserve">Why it works: Small models perform well on narrow domains because they only need to know one thing deeply. A 1.5B parameter model fine-tuned on OpenAI-to-Anthropic migration patterns could outperform GPT-4 on that specific task. The same logic applies to: rubric compliance checking (Assessment Wizard), clinical feedback quality scoring (WritingPAD/ProPrecept), IEP compliance analysis (IEP Advocate), NANDA-I care plan validation (Local Care Plan Generator). Each of these is narrow enough for a small specialist model.</w:t>
      </w:r>
    </w:p>
    <w:p>
      <w:pPr>
        <w:spacing w:after="120"/>
      </w:pPr>
      <w:r>
        <w:rPr>
          <w:rFonts w:ascii="Arial" w:cs="Arial" w:eastAsia="Arial" w:hAnsi="Arial"/>
          <w:sz w:val="22"/>
          <w:szCs w:val="22"/>
        </w:rPr>
        <w:t xml:space="preserve">Distribution paths (ranked by practicality): (1) Ollama model — “ollama pull ethicalpivot/migration-analyst” — runs on Mac, Linux, Windows, developer community already has ollama installed. Weekend to package once model exists. (2) VS Code extension with embedded ONNX runtime model — heavier engineering but best UX (right-click, “Analyse Migration Readiness”). Beelink GTR9 Pro serves as test rig for mid-range hardware validation. (3) WebLLM via WebGPU — runs entirely in browser with no installation. The trust story becomes airtight: “the AI analysing your code doesn’t leave your browser either.” Catch: WebGPU support is still patchy and initial model download is 1–2GB.</w:t>
      </w:r>
    </w:p>
    <w:p>
      <w:pPr>
        <w:spacing w:after="120"/>
      </w:pPr>
      <w:r>
        <w:rPr>
          <w:rFonts w:ascii="Arial" w:cs="Arial" w:eastAsia="Arial" w:hAnsi="Arial"/>
          <w:sz w:val="22"/>
          <w:szCs w:val="22"/>
        </w:rPr>
        <w:t xml:space="preserve">Connectivity angle: Local LLMs also solve for environments where connectivity is patchy or unreliable — rural hospitals, deployed military facilities, field nursing placements, schools with filtered internet. The domain must be truly narrow (classification, compliance checking, feedback scoring — not open-ended generation) for a small model to be reliable offline, but the use cases that fit this constraint are the exact use cases where privacy and offline capability matter most.</w:t>
      </w:r>
    </w:p>
    <w:p>
      <w:pPr>
        <w:spacing w:after="120"/>
      </w:pPr>
      <w:r>
        <w:rPr>
          <w:rFonts w:ascii="Arial" w:cs="Arial" w:eastAsia="Arial" w:hAnsi="Arial"/>
          <w:sz w:val="22"/>
          <w:szCs w:val="22"/>
        </w:rPr>
        <w:t xml:space="preserve">Revenue model: $29–$49 one-time for the model file, or $9/month subscription for model updates as the underlying APIs/regulations/frameworks change. The subscription is defensible because the domain knowledge evolves (OpenAI and Anthropic ship API changes quarterly; nursing regulations update annually; education codes change with each legislative session). That’s recurring value, not artificial lock-in.</w:t>
      </w:r>
    </w:p>
    <w:p>
      <w:pPr>
        <w:spacing w:after="120"/>
      </w:pPr>
      <w:r>
        <w:rPr>
          <w:rFonts w:ascii="Arial" w:cs="Arial" w:eastAsia="Arial" w:hAnsi="Arial"/>
          <w:sz w:val="22"/>
          <w:szCs w:val="22"/>
        </w:rPr>
        <w:t xml:space="preserve">Training data bootstrapping: For each domain, run the existing rule-based/regex tool first to generate candidate annotations, then manually correct a few hundred examples for LoRA fine-tuning on Qwen2.5-Coder-1.5B or Phi-3-mini. The existing tools (EthicalPivot scanner, WritingPAD prompt contracts, IEP Checker GRUND agents) ARE the training data generators.</w:t>
      </w:r>
    </w:p>
    <w:p>
      <w:pPr>
        <w:spacing w:after="120"/>
      </w:pPr>
      <w:r>
        <w:rPr>
          <w:rFonts w:ascii="Arial" w:cs="Arial" w:eastAsia="Arial" w:hAnsi="Arial"/>
          <w:sz w:val="22"/>
          <w:szCs w:val="22"/>
        </w:rPr>
        <w:t xml:space="preserve">Dissertation alignment: “Specialised Small Language Models for Domain-Specific Compliance Analysis” or “Automating Developer Migration Workflows with Domain-Specific Fine-Tuned Models” — both are publishable and directly support the dissertation’s interest in automating indie dev pipelines. The EthicalPivot scanner provides a real-world evaluation framework. The pattern generalises beyond any single domain (not just OpenAI→Claude). Connects to the Compliance Agent Forge idea (already in this document) — the forge creates the fine-tuned models, this pattern describes how to distribute and monetise them.</w:t>
      </w:r>
    </w:p>
    <w:p>
      <w:pPr>
        <w:spacing w:after="120"/>
      </w:pPr>
      <w:r>
        <w:rPr>
          <w:rFonts w:ascii="Arial" w:cs="Arial" w:eastAsia="Arial" w:hAnsi="Arial"/>
          <w:sz w:val="22"/>
          <w:szCs w:val="22"/>
        </w:rPr>
        <w:t xml:space="preserve">Existing products where this pattern applies: EthicalPivot (migration analysis), WritingPAD/ProPrecept (feedback quality scoring), Assessment Wizard (rubric calibration), IEP Advocate (compliance gap detection), Local Care Plan Generator (already designed for local execution), Compliance Agent Forge (the fine-tuning pipeline itself). The pattern is the connective tissue between these products.</w:t>
      </w:r>
    </w:p>
    <w:p>
      <w:pPr>
        <w:spacing w:after="120"/>
      </w:pPr>
      <w:r>
        <w:rPr>
          <w:rFonts w:ascii="Arial" w:cs="Arial" w:eastAsia="Arial" w:hAnsi="Arial"/>
          <w:sz w:val="22"/>
          <w:szCs w:val="22"/>
        </w:rPr>
        <w:t xml:space="preserve">Strategic recommendation: Do NOT build a local model before the cloud product works and has paying customers. Sequence is: cloud product MVP → revenue → local model as premium tier. Develop the fine-tuning methodology as part of dissertation research in parallel. The first candidate is EthicalPivot’s migration analyser because the training data (OpenAI SDK repos + known migration patterns) is publicly available and the evaluation framework (the scanner’s 21-rule matrix) already exists. Added Mar 9, 2026.</w:t>
      </w:r>
    </w:p>
    <w:p>
      <w:pPr>
        <w:pStyle w:val="Heading2"/>
        <w:spacing w:before="240" w:after="120"/>
      </w:pPr>
      <w:r>
        <w:rPr>
          <w:rFonts w:ascii="Arial" w:cs="Arial" w:eastAsia="Arial" w:hAnsi="Arial"/>
          <w:b/>
          <w:bCs/>
          <w:color w:val="2E75B6"/>
          <w:sz w:val="24"/>
          <w:szCs w:val="24"/>
        </w:rPr>
        <w:t xml:space="preserve">EU AI Act Dataset Card Generator (Compliance Tooling / Beelink Spinoff)</w:t>
      </w:r>
    </w:p>
    <w:p>
      <w:pPr>
        <w:spacing w:after="120"/>
      </w:pPr>
      <w:r>
        <w:rPr>
          <w:rFonts w:ascii="Arial" w:cs="Arial" w:eastAsia="Arial" w:hAnsi="Arial"/>
          <w:sz w:val="22"/>
          <w:szCs w:val="22"/>
        </w:rPr>
        <w:t xml:space="preserve">A lightweight SaaS tool that takes a synthetic or real dataset as input and auto-generates a compliant EU AI Act dataset card — with statistical summaries, representativeness metrics, bias flags, and a formatted disclosure document meeting the data governance artifacts required under Articles 10 and 11 of the EU AI Act. The Act requires companies deploying high-risk AI systems to produce dataset datasheets, bias audit reports, and lineage documentation. As of early 2026, only 18% of surveyed companies believe they are prepared to comply with these rules. That gap is the market.</w:t>
      </w:r>
    </w:p>
    <w:p>
      <w:pPr>
        <w:spacing w:after="120"/>
      </w:pPr>
      <w:r>
        <w:rPr>
          <w:rFonts w:ascii="Arial" w:cs="Arial" w:eastAsia="Arial" w:hAnsi="Arial"/>
          <w:sz w:val="22"/>
          <w:szCs w:val="22"/>
        </w:rPr>
        <w:t xml:space="preserve">Origin: Emerged from the Beelink Synthetic Data Factory plan (March 2026). Each synthetic dataset generated for sale on Datarade requires a Gebru-style datasheet (motivation, composition, collection process, preprocessing, uses, distribution, maintenance) plus an Evidently statistical validation report. After building 3–5 of these manually, the template and automation pipeline become a product in themselves. The tool would accept a CSV/Parquet upload, run automated profiling (column distributions, missing values, cardinality, potential PII detection, demographic representativeness), and output a formatted EU AI Act-compliant dataset card as PDF or DOCX — ready for regulatory submission or internal governance review.</w:t>
      </w:r>
    </w:p>
    <w:p>
      <w:pPr>
        <w:spacing w:after="120"/>
      </w:pPr>
      <w:r>
        <w:rPr>
          <w:rFonts w:ascii="Arial" w:cs="Arial" w:eastAsia="Arial" w:hAnsi="Arial"/>
          <w:sz w:val="22"/>
          <w:szCs w:val="22"/>
        </w:rPr>
        <w:t xml:space="preserve">Target buyers: Bavarian SMEs going through AI Act compliance (the Bavarian AI Act Accelerator at LMU/TUM is funding exactly this through December 2026), Fraunhofer institutes, appliedAI Institute partners, and the 130+ new AI professorships created under the Bavarian Hightech Agenda. Secondary market: any EU company deploying high-risk AI systems that needs to produce data governance documentation for each training, validation, and testing dataset. The EUR 100,000 Direktauftrag procurement threshold at German universities means a single contract under that limit requires no public tender — a solo founder can win it in a direct conversation.</w:t>
      </w:r>
    </w:p>
    <w:p>
      <w:pPr>
        <w:spacing w:after="120"/>
      </w:pPr>
      <w:r>
        <w:rPr>
          <w:rFonts w:ascii="Arial" w:cs="Arial" w:eastAsia="Arial" w:hAnsi="Arial"/>
          <w:sz w:val="22"/>
          <w:szCs w:val="22"/>
        </w:rPr>
        <w:t xml:space="preserve">Revenue model: EUR 29–99/month per organisation for ongoing access, or EUR 199 per dataset report for one-time purchases. Low support burden, high recurring stickiness for organisations with ongoing AI compliance needs (every new model version, every new training dataset requires a fresh card).</w:t>
      </w:r>
    </w:p>
    <w:p>
      <w:pPr>
        <w:spacing w:after="120"/>
      </w:pPr>
      <w:r>
        <w:rPr>
          <w:rFonts w:ascii="Arial" w:cs="Arial" w:eastAsia="Arial" w:hAnsi="Arial"/>
          <w:sz w:val="22"/>
          <w:szCs w:val="22"/>
        </w:rPr>
        <w:t xml:space="preserve">Competitive landscape: No dedicated EU AI Act dataset card generator exists as of March 2026. Evidently AI provides statistical monitoring but does not generate formatted compliance documents. HuggingFace has a dataset card template but no automated profiling or EU AI Act-specific compliance mapping. The closest thing is manual consulting engagements at EUR 5,000–20,000 per compliance audit. A self-service tool at EUR 29–99/month is 50–100x cheaper and available instantly.</w:t>
      </w:r>
    </w:p>
    <w:p>
      <w:pPr>
        <w:spacing w:after="120"/>
      </w:pPr>
      <w:r>
        <w:rPr>
          <w:rFonts w:ascii="Arial" w:cs="Arial" w:eastAsia="Arial" w:hAnsi="Arial"/>
          <w:sz w:val="22"/>
          <w:szCs w:val="22"/>
        </w:rPr>
        <w:t xml:space="preserve">Connection to existing products: This is essentially an Assessment Wizard for AI compliance documentation. The same form-driven, LLM-augmented document generation pipeline architecture (upload structured input, apply domain rules, generate formatted output) underpins both tools. Development experience from Assessment Wizard and Faculty Wizard transfers directly. The Jurisdiction-Aware Compliance Documentation Assistant pattern (already in this document) also applies — the EU AI Act is the regulatory corpus, but the same architecture could generate compliance cards for NIST AI RMF (US), Singapore’s Model AI Governance Framework, or Japan’s AI Guidelines.</w:t>
      </w:r>
    </w:p>
    <w:p>
      <w:pPr>
        <w:spacing w:after="120"/>
      </w:pPr>
      <w:r>
        <w:rPr>
          <w:rFonts w:ascii="Arial" w:cs="Arial" w:eastAsia="Arial" w:hAnsi="Arial"/>
          <w:sz w:val="22"/>
          <w:szCs w:val="22"/>
        </w:rPr>
        <w:t xml:space="preserve">Build sequence: Do NOT build this as a standalone product first. Build it as an internal tool for the Beelink Synthetic Data Factory (generating dataset cards for each synthetic dataset you sell). After producing 5–10 cards using your own tool, the templates and automation are proven, and you have real examples to show prospective customers. Then productise with a simple web frontend. The Beelink data factory customers and the dataset card generator customers are the same people — companies that need synthetic data also need compliance documentation for that data.</w:t>
      </w:r>
    </w:p>
    <w:p>
      <w:pPr>
        <w:spacing w:after="120"/>
      </w:pPr>
      <w:r>
        <w:rPr>
          <w:rFonts w:ascii="Arial" w:cs="Arial" w:eastAsia="Arial" w:hAnsi="Arial"/>
          <w:sz w:val="22"/>
          <w:szCs w:val="22"/>
        </w:rPr>
        <w:t xml:space="preserve">HuggingFace strategy: List synthetic datasets on HuggingFace with high-quality dataset cards generated by this tool. The cards themselves become marketing — researchers and engineers see the quality of the documentation, click through to the tool, and become customers. HuggingFace’s dataset card format is the de facto community standard; aligning with it means your tool’s output is immediately familiar to the target audience. Free preview datasets on HuggingFace drive traffic to Datarade (for full dataset purchases) and to vilseckki.de (for the card generator tool and boutique dataset orders).</w:t>
      </w:r>
    </w:p>
    <w:p>
      <w:pPr>
        <w:spacing w:after="120"/>
      </w:pPr>
      <w:r>
        <w:rPr>
          <w:rFonts w:ascii="Arial" w:cs="Arial" w:eastAsia="Arial" w:hAnsi="Arial"/>
          <w:sz w:val="22"/>
          <w:szCs w:val="22"/>
        </w:rPr>
        <w:t xml:space="preserve">Niche defensibility: HIGH. The EU AI Act compliance mapping (which articles map to which dataset card sections, which statistical tests satisfy which requirements) is deep domain knowledge that takes significant effort to build correctly. Each regulatory update (implementing acts, delegated acts, EDPB guidance) adds to the moat. Effort to MVP: LOW — the core is a Python profiling script (pandas + Evidently) plus a Jinja2 template that outputs formatted Markdown/DOCX. Dissertation-aligned: simulated data validation methodology and automated compliance documentation generation are both publishable contributions. Name TBD — working title “EU AI Act Dataset Card Generator” is descriptive but clunky; needs a proper product name. Added Mar 11, 2026.</w:t>
      </w:r>
    </w:p>
    <w:p>
      <w:r>
        <w:br w:type="page"/>
      </w:r>
    </w:p>
    <w:p>
      <w:pPr>
        <w:pStyle w:val="Heading1"/>
        <w:spacing w:before="360" w:after="200"/>
      </w:pPr>
      <w:r>
        <w:rPr>
          <w:rFonts w:ascii="Arial" w:cs="Arial" w:eastAsia="Arial" w:hAnsi="Arial"/>
          <w:b/>
          <w:sz w:val="32"/>
          <w:szCs w:val="32"/>
        </w:rPr>
        <w:t xml:space="preserve">Farafield (NurseAfield)</w:t>
      </w:r>
    </w:p>
    <w:p>
      <w:pPr>
        <w:spacing w:after="120"/>
      </w:pPr>
      <w:r>
        <w:rPr>
          <w:rFonts w:ascii="Arial" w:cs="Arial" w:eastAsia="Arial" w:hAnsi="Arial"/>
          <w:b/>
          <w:sz w:val="22"/>
          <w:szCs w:val="22"/>
        </w:rPr>
        <w:t xml:space="preserve">What it is: </w:t>
      </w:r>
      <w:r>
        <w:rPr>
          <w:rFonts w:ascii="Arial" w:cs="Arial" w:eastAsia="Arial" w:hAnsi="Arial"/>
          <w:sz w:val="22"/>
          <w:szCs w:val="22"/>
        </w:rPr>
        <w:t xml:space="preserve">B2C nurse migration sequencing app. Nurses in India, Nigeria, Colombia, Kenya, and Nepal pay €7.50 per pathway (e.g. India → Germany) to get a personalized, step-by-step migration roadmap. Includes dependency-gated steps, cost/timeline estimates, exam comparison, and a spaced-repetition German vocab trainer (€2.50/year subscription). Offline-first architecture for users on 2G/unreliable connections.</w:t>
      </w:r>
    </w:p>
    <w:p>
      <w:pPr>
        <w:spacing w:after="120"/>
      </w:pPr>
      <w:r>
        <w:rPr>
          <w:rFonts w:ascii="Arial" w:cs="Arial" w:eastAsia="Arial" w:hAnsi="Arial"/>
          <w:b/>
          <w:sz w:val="22"/>
          <w:szCs w:val="22"/>
        </w:rPr>
        <w:t xml:space="preserve">Operator: </w:t>
      </w:r>
      <w:r>
        <w:rPr>
          <w:rFonts w:ascii="Arial" w:cs="Arial" w:eastAsia="Arial" w:hAnsi="Arial"/>
          <w:sz w:val="22"/>
          <w:szCs w:val="22"/>
        </w:rPr>
        <w:t xml:space="preserve">ML Upskill Agents UG, Vilseck, Bayern. Domain: farafield.app (nurseafield subdomain). Tech: Next.js 15, Clerk, Supabase, Stripe, Anthropic API.</w:t>
      </w:r>
    </w:p>
    <w:p>
      <w:pPr>
        <w:spacing w:after="120"/>
      </w:pPr>
      <w:r>
        <w:rPr>
          <w:rFonts w:ascii="Arial" w:cs="Arial" w:eastAsia="Arial" w:hAnsi="Arial"/>
          <w:b/>
          <w:sz w:val="22"/>
          <w:szCs w:val="22"/>
        </w:rPr>
        <w:t xml:space="preserve">Revenue model: </w:t>
      </w:r>
      <w:r>
        <w:rPr>
          <w:rFonts w:ascii="Arial" w:cs="Arial" w:eastAsia="Arial" w:hAnsi="Arial"/>
          <w:sz w:val="22"/>
          <w:szCs w:val="22"/>
        </w:rPr>
        <w:t xml:space="preserve">One-time pathway purchase (€7.50) + optional vocab subscription (€2.50/yr). Low price point by design — target users earn €150–400/month. Volume play: Germany needs 400,000+ nurses; even 0.1% of aspiring migrants is thousands of users.</w:t>
      </w:r>
    </w:p>
    <w:p>
      <w:pPr>
        <w:spacing w:after="120"/>
      </w:pPr>
      <w:r>
        <w:rPr>
          <w:rFonts w:ascii="Arial" w:cs="Arial" w:eastAsia="Arial" w:hAnsi="Arial"/>
          <w:b/>
          <w:sz w:val="22"/>
          <w:szCs w:val="22"/>
        </w:rPr>
        <w:t xml:space="preserve">Niche defensibility: </w:t>
      </w:r>
      <w:r>
        <w:rPr>
          <w:rFonts w:ascii="Arial" w:cs="Arial" w:eastAsia="Arial" w:hAnsi="Arial"/>
          <w:sz w:val="22"/>
          <w:szCs w:val="22"/>
        </w:rPr>
        <w:t xml:space="preserve">MEDIUM. The pathway data (regulatory requirements, exam options, visa processes per source country) is the moat. Each corridor requires country-specific research that’s hard to replicate quickly. WHO Health Workforce Safeguard List compliance adds complexity that casual competitors won’t handle. Vulnerability: a well-funded recruitment agency could build something similar, but they typically charge employers, not individual nurses.</w:t>
      </w:r>
    </w:p>
    <w:p>
      <w:pPr>
        <w:spacing w:after="120"/>
      </w:pPr>
      <w:r>
        <w:rPr>
          <w:rFonts w:ascii="Arial" w:cs="Arial" w:eastAsia="Arial" w:hAnsi="Arial"/>
          <w:b/>
          <w:sz w:val="22"/>
          <w:szCs w:val="22"/>
        </w:rPr>
        <w:t xml:space="preserve">Reusable patterns: </w:t>
      </w:r>
      <w:r>
        <w:rPr>
          <w:rFonts w:ascii="Arial" w:cs="Arial" w:eastAsia="Arial" w:hAnsi="Arial"/>
          <w:sz w:val="22"/>
          <w:szCs w:val="22"/>
        </w:rPr>
        <w:t xml:space="preserve">Two patterns extracted from this build are reusable across the portfolio: (1) The pathway engine (dependency-gated step sequences with free-preview logic) applies directly to Faculty Wizard clinical pathways and Assessment Wizard evaluation workflows. (2) The offline-safe sync layer (IndexedDB → queue → batch upsert → conflict resolution) is needed anywhere users work on unreliable connections — hospital WiFi (Faculty Wizard) or field evaluators (Assessment Wizard).</w:t>
      </w:r>
    </w:p>
    <w:p>
      <w:pPr>
        <w:spacing w:after="120"/>
      </w:pPr>
      <w:r>
        <w:rPr>
          <w:rFonts w:ascii="Arial" w:cs="Arial" w:eastAsia="Arial" w:hAnsi="Arial"/>
          <w:b/>
          <w:sz w:val="22"/>
          <w:szCs w:val="22"/>
        </w:rPr>
        <w:t xml:space="preserve">SyncKit sniff test: </w:t>
      </w:r>
      <w:r>
        <w:rPr>
          <w:rFonts w:ascii="Arial" w:cs="Arial" w:eastAsia="Arial" w:hAnsi="Arial"/>
          <w:sz w:val="22"/>
          <w:szCs w:val="22"/>
        </w:rPr>
        <w:t xml:space="preserve">Packaging the offline sync layer as a standalone paid package (“SyncKit”) was considered but the honest assessment is WEAK as a standalone micro-SaaS. The core pattern is ~400 lines of framework-agnostic TypeScript. Developers who need this either use Firebase/Realm (heavyweight but mature) or write their own (it’s not complex enough to justify a dependency). The real value is as an internal reusable module across Farafield, Faculty Wizard, and Assessment Wizard — saving re-implementation time, not selling to strangers.</w:t>
      </w:r>
    </w:p>
    <w:p>
      <w:pPr>
        <w:spacing w:after="120"/>
      </w:pPr>
      <w:r>
        <w:rPr>
          <w:rFonts w:ascii="Arial" w:cs="Arial" w:eastAsia="Arial" w:hAnsi="Arial"/>
          <w:b/>
          <w:sz w:val="22"/>
          <w:szCs w:val="22"/>
        </w:rPr>
        <w:t xml:space="preserve">More interesting micro-SaaS angle: </w:t>
      </w:r>
      <w:r>
        <w:rPr>
          <w:rFonts w:ascii="Arial" w:cs="Arial" w:eastAsia="Arial" w:hAnsi="Arial"/>
          <w:sz w:val="22"/>
          <w:szCs w:val="22"/>
        </w:rPr>
        <w:t xml:space="preserve">The pathway engine (dependency-resolution + free-preview gating + multi-language support) could be extracted as a “Guided Journey Builder” for any domain: immigration, credentialing, onboarding, compliance checklists. This has more standalone value than the sync layer because the domain logic (step dependencies, gating, progress tracking, cost/timeline estimation) is genuinely non-trivial. Park this for post-launch evaluation. Added Mar 13,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Living document — updated as ideas arise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ML Upskill Agents — Micro-SaaS Ideas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2026-02-24T08:14:41.570Z</dcterms:created>
  <dcterms:modified xsi:type="dcterms:W3CDTF">2026-02-24T08:14:41.572Z</dcterms:modified>
</cp:coreProperties>
</file>

<file path=docProps/custom.xml><?xml version="1.0" encoding="utf-8"?>
<Properties xmlns="http://schemas.openxmlformats.org/officeDocument/2006/custom-properties" xmlns:vt="http://schemas.openxmlformats.org/officeDocument/2006/docPropsVTypes"/>
</file>