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WritingPAD Strategy Brief</w:t>
      </w:r>
    </w:p>
    <w:p>
      <w:pPr>
        <w:jc w:val="center"/>
      </w:pPr>
      <w:r>
        <w:rPr>
          <w:color w:val="555555"/>
          <w:sz w:val="28"/>
        </w:rPr>
        <w:t>Business-in-a-Box Concept, Japan PR Permutation,</w:t>
        <w:br/>
        <w:t>Marketing Activities &amp; RCN Follow-Up</w:t>
      </w:r>
    </w:p>
    <w:p/>
    <w:p>
      <w:pPr>
        <w:jc w:val="center"/>
      </w:pPr>
      <w:r>
        <w:rPr>
          <w:color w:val="777777"/>
          <w:sz w:val="24"/>
        </w:rPr>
        <w:t>March 4, 2026</w:t>
      </w:r>
    </w:p>
    <w:p>
      <w:pPr>
        <w:jc w:val="center"/>
      </w:pPr>
      <w:r>
        <w:rPr>
          <w:color w:val="777777"/>
          <w:sz w:val="22"/>
        </w:rPr>
        <w:t>Prepared for Ryan Hill</w:t>
        <w:br/>
        <w:t>ML Upskill Agents UG (haftungsbeschränkt)</w:t>
      </w:r>
    </w:p>
    <w:p>
      <w:r>
        <w:br w:type="page"/>
      </w:r>
    </w:p>
    <w:p>
      <w:pPr>
        <w:pStyle w:val="Heading1"/>
      </w:pPr>
      <w:r>
        <w:rPr>
          <w:color w:val="1A1A2E"/>
        </w:rPr>
        <w:t>Part 1: Business-in-a-Box for Digital Nomad Developers</w:t>
      </w:r>
    </w:p>
    <w:p>
      <w:pPr>
        <w:pStyle w:val="Heading2"/>
      </w:pPr>
      <w:r>
        <w:rPr>
          <w:color w:val="1A1A2E"/>
        </w:rPr>
        <w:t>The Concept</w:t>
      </w:r>
    </w:p>
    <w:p>
      <w:pPr>
        <w:spacing w:after="160"/>
      </w:pPr>
      <w:r>
        <w:t>The "Business-in-a-Box" is a productized toolkit and guided playbook that takes an aspiring digital nomad developer from zero to a functioning, multi-market micro-SaaS operation. It packages the infrastructure stack, entity formation guidance, billing architecture, and market expansion methodology that you are currently building by hand into a repeatable, sellable system.</w:t>
      </w:r>
    </w:p>
    <w:p>
      <w:pPr>
        <w:spacing w:after="160"/>
      </w:pPr>
      <w:r>
        <w:t>The core value proposition: most indie developers can build software, but very few know how to set up cross-border billing, handle multi-currency accounting, register for VAT in foreign jurisdictions, or structure an entity that works from anywhere. The business-in-a-box solves the "everything except the code" problem.</w:t>
      </w:r>
    </w:p>
    <w:p>
      <w:pPr>
        <w:pStyle w:val="Heading2"/>
      </w:pPr>
      <w:r>
        <w:rPr>
          <w:color w:val="1A1A2E"/>
        </w:rPr>
        <w:t>Your Proven Stack (The Blueprint)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1a2e"/>
          </w:tcPr>
          <w:p>
            <w:r/>
            <w:r>
              <w:rPr>
                <w:rFonts w:ascii="Arial" w:hAnsi="Arial"/>
                <w:b/>
                <w:color w:val="FFFFFF"/>
                <w:sz w:val="20"/>
              </w:rPr>
              <w:t>Layer</w:t>
            </w:r>
          </w:p>
        </w:tc>
        <w:tc>
          <w:tcPr>
            <w:tcW w:type="dxa" w:w="3120"/>
            <w:shd w:val="clear" w:color="auto" w:fill="1a1a2e"/>
          </w:tcPr>
          <w:p>
            <w:r/>
            <w:r>
              <w:rPr>
                <w:rFonts w:ascii="Arial" w:hAnsi="Arial"/>
                <w:b/>
                <w:color w:val="FFFFFF"/>
                <w:sz w:val="20"/>
              </w:rPr>
              <w:t>Your Solution</w:t>
            </w:r>
          </w:p>
        </w:tc>
        <w:tc>
          <w:tcPr>
            <w:tcW w:type="dxa" w:w="3120"/>
            <w:shd w:val="clear" w:color="auto" w:fill="1a1a2e"/>
          </w:tcPr>
          <w:p>
            <w:r/>
            <w:r>
              <w:rPr>
                <w:rFonts w:ascii="Arial" w:hAnsi="Arial"/>
                <w:b/>
                <w:color w:val="FFFFFF"/>
                <w:sz w:val="20"/>
              </w:rPr>
              <w:t>Why It Matters</w:t>
            </w:r>
          </w:p>
        </w:tc>
      </w:tr>
      <w:tr>
        <w:tc>
          <w:tcPr>
            <w:tcW w:type="dxa" w:w="3120"/>
          </w:tcPr>
          <w:p>
            <w:r/>
            <w:r>
              <w:rPr>
                <w:rFonts w:ascii="Arial" w:hAnsi="Arial"/>
                <w:sz w:val="20"/>
              </w:rPr>
              <w:t>Legal Entity</w:t>
            </w:r>
          </w:p>
        </w:tc>
        <w:tc>
          <w:tcPr>
            <w:tcW w:type="dxa" w:w="3120"/>
          </w:tcPr>
          <w:p>
            <w:r/>
            <w:r>
              <w:rPr>
                <w:rFonts w:ascii="Arial" w:hAnsi="Arial"/>
                <w:sz w:val="20"/>
              </w:rPr>
              <w:t>German UG (haftungsbeschränkt)</w:t>
            </w:r>
          </w:p>
        </w:tc>
        <w:tc>
          <w:tcPr>
            <w:tcW w:type="dxa" w:w="3120"/>
          </w:tcPr>
          <w:p>
            <w:r/>
            <w:r>
              <w:rPr>
                <w:rFonts w:ascii="Arial" w:hAnsi="Arial"/>
                <w:sz w:val="20"/>
              </w:rPr>
              <w:t>EU-based, €1 minimum capital, location-independent management, EU VAT OSS eligible</w:t>
            </w:r>
          </w:p>
        </w:tc>
      </w:tr>
      <w:tr>
        <w:tc>
          <w:tcPr>
            <w:tcW w:type="dxa" w:w="3120"/>
          </w:tcPr>
          <w:p>
            <w:r/>
            <w:r>
              <w:rPr>
                <w:rFonts w:ascii="Arial" w:hAnsi="Arial"/>
                <w:sz w:val="20"/>
              </w:rPr>
              <w:t>Billing</w:t>
            </w:r>
          </w:p>
        </w:tc>
        <w:tc>
          <w:tcPr>
            <w:tcW w:type="dxa" w:w="3120"/>
          </w:tcPr>
          <w:p>
            <w:r/>
            <w:r>
              <w:rPr>
                <w:rFonts w:ascii="Arial" w:hAnsi="Arial"/>
                <w:sz w:val="20"/>
              </w:rPr>
              <w:t>Stripe (multi-product, multi-currency)</w:t>
            </w:r>
          </w:p>
        </w:tc>
        <w:tc>
          <w:tcPr>
            <w:tcW w:type="dxa" w:w="3120"/>
          </w:tcPr>
          <w:p>
            <w:r/>
            <w:r>
              <w:rPr>
                <w:rFonts w:ascii="Arial" w:hAnsi="Arial"/>
                <w:sz w:val="20"/>
              </w:rPr>
              <w:t>One account, products in GBP/EUR/ZAR/AUD. Statement descriptor per brand. Stripe Tax for auto VAT/GST.</w:t>
            </w:r>
          </w:p>
        </w:tc>
      </w:tr>
      <w:tr>
        <w:tc>
          <w:tcPr>
            <w:tcW w:type="dxa" w:w="3120"/>
          </w:tcPr>
          <w:p>
            <w:r/>
            <w:r>
              <w:rPr>
                <w:rFonts w:ascii="Arial" w:hAnsi="Arial"/>
                <w:sz w:val="20"/>
              </w:rPr>
              <w:t>Banking</w:t>
            </w:r>
          </w:p>
        </w:tc>
        <w:tc>
          <w:tcPr>
            <w:tcW w:type="dxa" w:w="3120"/>
          </w:tcPr>
          <w:p>
            <w:r/>
            <w:r>
              <w:rPr>
                <w:rFonts w:ascii="Arial" w:hAnsi="Arial"/>
                <w:sz w:val="20"/>
              </w:rPr>
              <w:t>Wise Business (all target currencies)</w:t>
            </w:r>
          </w:p>
        </w:tc>
        <w:tc>
          <w:tcPr>
            <w:tcW w:type="dxa" w:w="3120"/>
          </w:tcPr>
          <w:p>
            <w:r/>
            <w:r>
              <w:rPr>
                <w:rFonts w:ascii="Arial" w:hAnsi="Arial"/>
                <w:sz w:val="20"/>
              </w:rPr>
              <w:t>Hold local currency as-is, convert on your terms, dramatically lower FX costs than Stripe auto-convert</w:t>
            </w:r>
          </w:p>
        </w:tc>
      </w:tr>
      <w:tr>
        <w:tc>
          <w:tcPr>
            <w:tcW w:type="dxa" w:w="3120"/>
          </w:tcPr>
          <w:p>
            <w:r/>
            <w:r>
              <w:rPr>
                <w:rFonts w:ascii="Arial" w:hAnsi="Arial"/>
                <w:sz w:val="20"/>
              </w:rPr>
              <w:t>Accounting</w:t>
            </w:r>
          </w:p>
        </w:tc>
        <w:tc>
          <w:tcPr>
            <w:tcW w:type="dxa" w:w="3120"/>
          </w:tcPr>
          <w:p>
            <w:r/>
            <w:r>
              <w:rPr>
                <w:rFonts w:ascii="Arial" w:hAnsi="Arial"/>
                <w:sz w:val="20"/>
              </w:rPr>
              <w:t>SevDesk API</w:t>
            </w:r>
          </w:p>
        </w:tc>
        <w:tc>
          <w:tcPr>
            <w:tcW w:type="dxa" w:w="3120"/>
          </w:tcPr>
          <w:p>
            <w:r/>
            <w:r>
              <w:rPr>
                <w:rFonts w:ascii="Arial" w:hAnsi="Arial"/>
                <w:sz w:val="20"/>
              </w:rPr>
              <w:t>German-compliant bookkeeping, auto EUR conversion for Finanzamt, API-driven for automation</w:t>
            </w:r>
          </w:p>
        </w:tc>
      </w:tr>
      <w:tr>
        <w:tc>
          <w:tcPr>
            <w:tcW w:type="dxa" w:w="3120"/>
          </w:tcPr>
          <w:p>
            <w:r/>
            <w:r>
              <w:rPr>
                <w:rFonts w:ascii="Arial" w:hAnsi="Arial"/>
                <w:sz w:val="20"/>
              </w:rPr>
              <w:t>Hosting</w:t>
            </w:r>
          </w:p>
        </w:tc>
        <w:tc>
          <w:tcPr>
            <w:tcW w:type="dxa" w:w="3120"/>
          </w:tcPr>
          <w:p>
            <w:r/>
            <w:r>
              <w:rPr>
                <w:rFonts w:ascii="Arial" w:hAnsi="Arial"/>
                <w:sz w:val="20"/>
              </w:rPr>
              <w:t>Vercel (Next.js)</w:t>
            </w:r>
          </w:p>
        </w:tc>
        <w:tc>
          <w:tcPr>
            <w:tcW w:type="dxa" w:w="3120"/>
          </w:tcPr>
          <w:p>
            <w:r/>
            <w:r>
              <w:rPr>
                <w:rFonts w:ascii="Arial" w:hAnsi="Arial"/>
                <w:sz w:val="20"/>
              </w:rPr>
              <w:t>Edge deployment, per-market domains, zero DevOps overhead</w:t>
            </w:r>
          </w:p>
        </w:tc>
      </w:tr>
      <w:tr>
        <w:tc>
          <w:tcPr>
            <w:tcW w:type="dxa" w:w="3120"/>
          </w:tcPr>
          <w:p>
            <w:r/>
            <w:r>
              <w:rPr>
                <w:rFonts w:ascii="Arial" w:hAnsi="Arial"/>
                <w:sz w:val="20"/>
              </w:rPr>
              <w:t>Auth</w:t>
            </w:r>
          </w:p>
        </w:tc>
        <w:tc>
          <w:tcPr>
            <w:tcW w:type="dxa" w:w="3120"/>
          </w:tcPr>
          <w:p>
            <w:r/>
            <w:r>
              <w:rPr>
                <w:rFonts w:ascii="Arial" w:hAnsi="Arial"/>
                <w:sz w:val="20"/>
              </w:rPr>
              <w:t>Clerk</w:t>
            </w:r>
          </w:p>
        </w:tc>
        <w:tc>
          <w:tcPr>
            <w:tcW w:type="dxa" w:w="3120"/>
          </w:tcPr>
          <w:p>
            <w:r/>
            <w:r>
              <w:rPr>
                <w:rFonts w:ascii="Arial" w:hAnsi="Arial"/>
                <w:sz w:val="20"/>
              </w:rPr>
              <w:t>Drop-in auth with SSO, handles GDPR consent flows</w:t>
            </w:r>
          </w:p>
        </w:tc>
      </w:tr>
      <w:tr>
        <w:tc>
          <w:tcPr>
            <w:tcW w:type="dxa" w:w="3120"/>
          </w:tcPr>
          <w:p>
            <w:r/>
            <w:r>
              <w:rPr>
                <w:rFonts w:ascii="Arial" w:hAnsi="Arial"/>
                <w:sz w:val="20"/>
              </w:rPr>
              <w:t>App Architecture</w:t>
            </w:r>
          </w:p>
        </w:tc>
        <w:tc>
          <w:tcPr>
            <w:tcW w:type="dxa" w:w="3120"/>
          </w:tcPr>
          <w:p>
            <w:r/>
            <w:r>
              <w:rPr>
                <w:rFonts w:ascii="Arial" w:hAnsi="Arial"/>
                <w:sz w:val="20"/>
              </w:rPr>
              <w:t>Stateless Next.js + prompt contract</w:t>
            </w:r>
          </w:p>
        </w:tc>
        <w:tc>
          <w:tcPr>
            <w:tcW w:type="dxa" w:w="3120"/>
          </w:tcPr>
          <w:p>
            <w:r/>
            <w:r>
              <w:rPr>
                <w:rFonts w:ascii="Arial" w:hAnsi="Arial"/>
                <w:sz w:val="20"/>
              </w:rPr>
              <w:t>No database, no PII storage, GDPR/FERPA obligations collapse to near-zero</w:t>
            </w:r>
          </w:p>
        </w:tc>
      </w:tr>
      <w:tr>
        <w:tc>
          <w:tcPr>
            <w:tcW w:type="dxa" w:w="3120"/>
          </w:tcPr>
          <w:p>
            <w:r/>
            <w:r>
              <w:rPr>
                <w:rFonts w:ascii="Arial" w:hAnsi="Arial"/>
                <w:sz w:val="20"/>
              </w:rPr>
              <w:t>Market Expansion</w:t>
            </w:r>
          </w:p>
        </w:tc>
        <w:tc>
          <w:tcPr>
            <w:tcW w:type="dxa" w:w="3120"/>
          </w:tcPr>
          <w:p>
            <w:r/>
            <w:r>
              <w:rPr>
                <w:rFonts w:ascii="Arial" w:hAnsi="Arial"/>
                <w:sz w:val="20"/>
              </w:rPr>
              <w:t>Port Template + localization skill</w:t>
            </w:r>
          </w:p>
        </w:tc>
        <w:tc>
          <w:tcPr>
            <w:tcW w:type="dxa" w:w="3120"/>
          </w:tcPr>
          <w:p>
            <w:r/>
            <w:r>
              <w:rPr>
                <w:rFonts w:ascii="Arial" w:hAnsi="Arial"/>
                <w:sz w:val="20"/>
              </w:rPr>
              <w:t>Documented process to clone a product for a new country in days, not months</w:t>
            </w:r>
          </w:p>
        </w:tc>
      </w:tr>
      <w:tr>
        <w:tc>
          <w:tcPr>
            <w:tcW w:type="dxa" w:w="3120"/>
          </w:tcPr>
          <w:p>
            <w:r/>
            <w:r>
              <w:rPr>
                <w:rFonts w:ascii="Arial" w:hAnsi="Arial"/>
                <w:sz w:val="20"/>
              </w:rPr>
              <w:t>SEO</w:t>
            </w:r>
          </w:p>
        </w:tc>
        <w:tc>
          <w:tcPr>
            <w:tcW w:type="dxa" w:w="3120"/>
          </w:tcPr>
          <w:p>
            <w:r/>
            <w:r>
              <w:rPr>
                <w:rFonts w:ascii="Arial" w:hAnsi="Arial"/>
                <w:sz w:val="20"/>
              </w:rPr>
              <w:t>Ubersuggest + Google Search Console</w:t>
            </w:r>
          </w:p>
        </w:tc>
        <w:tc>
          <w:tcPr>
            <w:tcW w:type="dxa" w:w="3120"/>
          </w:tcPr>
          <w:p>
            <w:r/>
            <w:r>
              <w:rPr>
                <w:rFonts w:ascii="Arial" w:hAnsi="Arial"/>
                <w:sz w:val="20"/>
              </w:rPr>
              <w:t>Per-market keyword tracking, metadata optimization</w:t>
            </w:r>
          </w:p>
        </w:tc>
      </w:tr>
      <w:tr>
        <w:tc>
          <w:tcPr>
            <w:tcW w:type="dxa" w:w="3120"/>
          </w:tcPr>
          <w:p>
            <w:r/>
            <w:r>
              <w:rPr>
                <w:rFonts w:ascii="Arial" w:hAnsi="Arial"/>
                <w:sz w:val="20"/>
              </w:rPr>
              <w:t>AI Backend</w:t>
            </w:r>
          </w:p>
        </w:tc>
        <w:tc>
          <w:tcPr>
            <w:tcW w:type="dxa" w:w="3120"/>
          </w:tcPr>
          <w:p>
            <w:r/>
            <w:r>
              <w:rPr>
                <w:rFonts w:ascii="Arial" w:hAnsi="Arial"/>
                <w:sz w:val="20"/>
              </w:rPr>
              <w:t>OpenAI API (prompt contract)</w:t>
            </w:r>
          </w:p>
        </w:tc>
        <w:tc>
          <w:tcPr>
            <w:tcW w:type="dxa" w:w="3120"/>
          </w:tcPr>
          <w:p>
            <w:r/>
            <w:r>
              <w:rPr>
                <w:rFonts w:ascii="Arial" w:hAnsi="Arial"/>
                <w:sz w:val="20"/>
              </w:rPr>
              <w:t>Versioned prompt contracts with QA gauntlet (40 test cases), portable across markets</w:t>
            </w:r>
          </w:p>
        </w:tc>
      </w:tr>
    </w:tbl>
    <w:p>
      <w:pPr>
        <w:pStyle w:val="Heading2"/>
      </w:pPr>
      <w:r>
        <w:rPr>
          <w:color w:val="1A1A2E"/>
        </w:rPr>
        <w:t>What the Product Could Look Like</w:t>
      </w:r>
    </w:p>
    <w:p>
      <w:pPr>
        <w:spacing w:after="160"/>
      </w:pPr>
      <w:r>
        <w:t>Tier 1 — The Playbook (€49-99 one-time): A comprehensive guide documenting the exact stack, entity formation steps (German UG via online notary), Stripe multi-currency setup, Wise Business configuration, SevDesk integration, and VAT registration process. Includes the port template methodology for multi-market expansion. This is the "info product" tier — low effort to maintain, pure margin.</w:t>
      </w:r>
    </w:p>
    <w:p>
      <w:pPr>
        <w:spacing w:after="160"/>
      </w:pPr>
      <w:r>
        <w:t>Tier 2 — The Starter Kit (€199-399 one-time): Everything in Tier 1, plus a Next.js boilerplate repo with Clerk auth, Stripe billing (multi-currency pre-wired), Vercel deployment config, and a sample prompt contract structure. Buyer gets a running app skeleton that already handles the hard parts.</w:t>
      </w:r>
    </w:p>
    <w:p>
      <w:pPr>
        <w:spacing w:after="160"/>
      </w:pPr>
      <w:r>
        <w:t>Tier 3 — The Full Stack (€29-49/month SaaS): A dashboard that manages your multi-market products. Connects to Stripe, Wise, and SevDesk APIs. Shows revenue per market/currency, automates invoice generation, tracks VAT obligations per jurisdiction, and provides a market expansion checklist with progress tracking. This is the recurring revenue tier and the hardest to build, but also the most defensible.</w:t>
      </w:r>
    </w:p>
    <w:p>
      <w:pPr>
        <w:pStyle w:val="Heading2"/>
      </w:pPr>
      <w:r>
        <w:rPr>
          <w:color w:val="1A1A2E"/>
        </w:rPr>
        <w:t>When to Build It</w:t>
      </w:r>
    </w:p>
    <w:p>
      <w:pPr>
        <w:spacing w:after="160"/>
      </w:pPr>
      <w:r>
        <w:t>Not yet. The playbook only has credibility once WritingPAD (or ProPrecept) generates real revenue. The sequence is: (1) get WritingPAD to paying customers, (2) launch at least one ProPrecept market, (3) document everything as you go, (4) package the documentation into Tier 1, (5) build Tier 2 from your actual codebase, (6) consider Tier 3 only if Tiers 1-2 validate demand. The good news is that steps 1-3 are already happening — you just need revenue proof.</w:t>
      </w:r>
    </w:p>
    <w:p>
      <w:pPr>
        <w:pStyle w:val="Heading2"/>
      </w:pPr>
      <w:r>
        <w:rPr>
          <w:color w:val="1A1A2E"/>
        </w:rPr>
        <w:t>Dissertation Alignment</w:t>
      </w:r>
    </w:p>
    <w:p>
      <w:pPr>
        <w:spacing w:after="160"/>
      </w:pPr>
      <w:r>
        <w:t>The business-in-a-box concept aligns with your dissertation interest in automating the independent developer pipeline from idea to marketable SaaS. The port template, QA gauntlet, and prompt contract versioning system are all artifacts of a repeatable methodology that could be formalized academically. The stateless-by-design architecture decision is itself a contribution at the intersection of privacy engineering and clinical NLP tooling.</w:t>
      </w:r>
    </w:p>
    <w:p>
      <w:r>
        <w:br w:type="page"/>
      </w:r>
    </w:p>
    <w:p>
      <w:pPr>
        <w:pStyle w:val="Heading1"/>
      </w:pPr>
      <w:r>
        <w:rPr>
          <w:color w:val="1A1A2E"/>
        </w:rPr>
        <w:t>Part 2: Japan Business-to-Permanent-Residency Permutation</w:t>
      </w:r>
    </w:p>
    <w:p>
      <w:pPr>
        <w:pStyle w:val="Heading2"/>
      </w:pPr>
      <w:r>
        <w:rPr>
          <w:color w:val="1A1A2E"/>
        </w:rPr>
        <w:t>Why Japan Is Interesting for This Audience</w:t>
      </w:r>
    </w:p>
    <w:p>
      <w:pPr>
        <w:spacing w:after="160"/>
      </w:pPr>
      <w:r>
        <w:t>Japan is one of the most aspirational destinations for digital nomad developers, particularly in the tech/anime/gaming adjacent community. The country introduced a Digital Nomad Visa in 2024 and expanded its Startup Visa nationwide in January 2025. However, Japan also dramatically tightened its Business Manager Visa in October 2025, which changes the permanent residency calculus significantly. A "business-in-a-box for Japan PR" would be a compelling niche product.</w:t>
      </w:r>
    </w:p>
    <w:p>
      <w:pPr>
        <w:pStyle w:val="Heading2"/>
      </w:pPr>
      <w:r>
        <w:rPr>
          <w:color w:val="1A1A2E"/>
        </w:rPr>
        <w:t>The Visa Ladder (Current as of March 2026)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a1a2e"/>
          </w:tcPr>
          <w:p>
            <w:r/>
            <w:r>
              <w:rPr>
                <w:rFonts w:ascii="Arial" w:hAnsi="Arial"/>
                <w:b/>
                <w:color w:val="FFFFFF"/>
                <w:sz w:val="20"/>
              </w:rPr>
              <w:t>Step</w:t>
            </w:r>
          </w:p>
        </w:tc>
        <w:tc>
          <w:tcPr>
            <w:tcW w:type="dxa" w:w="2340"/>
            <w:shd w:val="clear" w:color="auto" w:fill="1a1a2e"/>
          </w:tcPr>
          <w:p>
            <w:r/>
            <w:r>
              <w:rPr>
                <w:rFonts w:ascii="Arial" w:hAnsi="Arial"/>
                <w:b/>
                <w:color w:val="FFFFFF"/>
                <w:sz w:val="20"/>
              </w:rPr>
              <w:t>Visa Type</w:t>
            </w:r>
          </w:p>
        </w:tc>
        <w:tc>
          <w:tcPr>
            <w:tcW w:type="dxa" w:w="2340"/>
            <w:shd w:val="clear" w:color="auto" w:fill="1a1a2e"/>
          </w:tcPr>
          <w:p>
            <w:r/>
            <w:r>
              <w:rPr>
                <w:rFonts w:ascii="Arial" w:hAnsi="Arial"/>
                <w:b/>
                <w:color w:val="FFFFFF"/>
                <w:sz w:val="20"/>
              </w:rPr>
              <w:t>Duration</w:t>
            </w:r>
          </w:p>
        </w:tc>
        <w:tc>
          <w:tcPr>
            <w:tcW w:type="dxa" w:w="2340"/>
            <w:shd w:val="clear" w:color="auto" w:fill="1a1a2e"/>
          </w:tcPr>
          <w:p>
            <w:r/>
            <w:r>
              <w:rPr>
                <w:rFonts w:ascii="Arial" w:hAnsi="Arial"/>
                <w:b/>
                <w:color w:val="FFFFFF"/>
                <w:sz w:val="20"/>
              </w:rPr>
              <w:t>Key Requirements</w:t>
            </w:r>
          </w:p>
        </w:tc>
      </w:tr>
      <w:tr>
        <w:tc>
          <w:tcPr>
            <w:tcW w:type="dxa" w:w="2340"/>
          </w:tcPr>
          <w:p>
            <w:r/>
            <w:r>
              <w:rPr>
                <w:rFonts w:ascii="Arial" w:hAnsi="Arial"/>
                <w:sz w:val="20"/>
              </w:rPr>
              <w:t>0 (Optional)</w:t>
            </w:r>
          </w:p>
        </w:tc>
        <w:tc>
          <w:tcPr>
            <w:tcW w:type="dxa" w:w="2340"/>
          </w:tcPr>
          <w:p>
            <w:r/>
            <w:r>
              <w:rPr>
                <w:rFonts w:ascii="Arial" w:hAnsi="Arial"/>
                <w:sz w:val="20"/>
              </w:rPr>
              <w:t>Digital Nomad Visa</w:t>
            </w:r>
          </w:p>
        </w:tc>
        <w:tc>
          <w:tcPr>
            <w:tcW w:type="dxa" w:w="2340"/>
          </w:tcPr>
          <w:p>
            <w:r/>
            <w:r>
              <w:rPr>
                <w:rFonts w:ascii="Arial" w:hAnsi="Arial"/>
                <w:sz w:val="20"/>
              </w:rPr>
              <w:t>6 months, non-renewable</w:t>
            </w:r>
          </w:p>
        </w:tc>
        <w:tc>
          <w:tcPr>
            <w:tcW w:type="dxa" w:w="2340"/>
          </w:tcPr>
          <w:p>
            <w:r/>
            <w:r>
              <w:rPr>
                <w:rFonts w:ascii="Arial" w:hAnsi="Arial"/>
                <w:sz w:val="20"/>
              </w:rPr>
              <w:t>¥10M+ annual income (~$67K USD). Work for non-Japanese clients only. Good for scouting / testing the waters. Does NOT count toward PR residency.</w:t>
            </w:r>
          </w:p>
        </w:tc>
      </w:tr>
      <w:tr>
        <w:tc>
          <w:tcPr>
            <w:tcW w:type="dxa" w:w="2340"/>
          </w:tcPr>
          <w:p>
            <w:r/>
            <w:r>
              <w:rPr>
                <w:rFonts w:ascii="Arial" w:hAnsi="Arial"/>
                <w:sz w:val="20"/>
              </w:rPr>
              <w:t>1</w:t>
            </w:r>
          </w:p>
        </w:tc>
        <w:tc>
          <w:tcPr>
            <w:tcW w:type="dxa" w:w="2340"/>
          </w:tcPr>
          <w:p>
            <w:r/>
            <w:r>
              <w:rPr>
                <w:rFonts w:ascii="Arial" w:hAnsi="Arial"/>
                <w:sz w:val="20"/>
              </w:rPr>
              <w:t>Startup Visa</w:t>
            </w:r>
          </w:p>
        </w:tc>
        <w:tc>
          <w:tcPr>
            <w:tcW w:type="dxa" w:w="2340"/>
          </w:tcPr>
          <w:p>
            <w:r/>
            <w:r>
              <w:rPr>
                <w:rFonts w:ascii="Arial" w:hAnsi="Arial"/>
                <w:sz w:val="20"/>
              </w:rPr>
              <w:t>Up to 2 years</w:t>
            </w:r>
          </w:p>
        </w:tc>
        <w:tc>
          <w:tcPr>
            <w:tcW w:type="dxa" w:w="2340"/>
          </w:tcPr>
          <w:p>
            <w:r/>
            <w:r>
              <w:rPr>
                <w:rFonts w:ascii="Arial" w:hAnsi="Arial"/>
                <w:sz w:val="20"/>
              </w:rPr>
              <w:t>Now available nationwide (Jan 2025 expansion). No capital or hiring requirements during preparation phase. Must have a business plan endorsed by a municipal government. Use this time to build revenue and prepare for Business Manager transition.</w:t>
            </w:r>
          </w:p>
        </w:tc>
      </w:tr>
      <w:tr>
        <w:tc>
          <w:tcPr>
            <w:tcW w:type="dxa" w:w="2340"/>
          </w:tcPr>
          <w:p>
            <w:r/>
            <w:r>
              <w:rPr>
                <w:rFonts w:ascii="Arial" w:hAnsi="Arial"/>
                <w:sz w:val="20"/>
              </w:rPr>
              <w:t>2</w:t>
            </w:r>
          </w:p>
        </w:tc>
        <w:tc>
          <w:tcPr>
            <w:tcW w:type="dxa" w:w="2340"/>
          </w:tcPr>
          <w:p>
            <w:r/>
            <w:r>
              <w:rPr>
                <w:rFonts w:ascii="Arial" w:hAnsi="Arial"/>
                <w:sz w:val="20"/>
              </w:rPr>
              <w:t>Business Manager Visa</w:t>
            </w:r>
          </w:p>
        </w:tc>
        <w:tc>
          <w:tcPr>
            <w:tcW w:type="dxa" w:w="2340"/>
          </w:tcPr>
          <w:p>
            <w:r/>
            <w:r>
              <w:rPr>
                <w:rFonts w:ascii="Arial" w:hAnsi="Arial"/>
                <w:sz w:val="20"/>
              </w:rPr>
              <w:t>1-5 year renewals</w:t>
            </w:r>
          </w:p>
        </w:tc>
        <w:tc>
          <w:tcPr>
            <w:tcW w:type="dxa" w:w="2340"/>
          </w:tcPr>
          <w:p>
            <w:r/>
            <w:r>
              <w:rPr>
                <w:rFonts w:ascii="Arial" w:hAnsi="Arial"/>
                <w:sz w:val="20"/>
              </w:rPr>
              <w:t>NEW (Oct 2025): ¥30M capital (~$200K USD), 1+ full-time local employee (Japanese/PR holder), dedicated office (no home office), 3+ years management experience OR relevant master's/doctoral degree, JLPT N2 Japanese (you or your employee). Transition from Startup Visa before it expires.</w:t>
            </w:r>
          </w:p>
        </w:tc>
      </w:tr>
      <w:tr>
        <w:tc>
          <w:tcPr>
            <w:tcW w:type="dxa" w:w="2340"/>
          </w:tcPr>
          <w:p>
            <w:r/>
            <w:r>
              <w:rPr>
                <w:rFonts w:ascii="Arial" w:hAnsi="Arial"/>
                <w:sz w:val="20"/>
              </w:rPr>
              <w:t>3a</w:t>
            </w:r>
          </w:p>
        </w:tc>
        <w:tc>
          <w:tcPr>
            <w:tcW w:type="dxa" w:w="2340"/>
          </w:tcPr>
          <w:p>
            <w:r/>
            <w:r>
              <w:rPr>
                <w:rFonts w:ascii="Arial" w:hAnsi="Arial"/>
                <w:sz w:val="20"/>
              </w:rPr>
              <w:t>Standard PR Path</w:t>
            </w:r>
          </w:p>
        </w:tc>
        <w:tc>
          <w:tcPr>
            <w:tcW w:type="dxa" w:w="2340"/>
          </w:tcPr>
          <w:p>
            <w:r/>
            <w:r>
              <w:rPr>
                <w:rFonts w:ascii="Arial" w:hAnsi="Arial"/>
                <w:sz w:val="20"/>
              </w:rPr>
              <w:t>10 years continuous residence</w:t>
            </w:r>
          </w:p>
        </w:tc>
        <w:tc>
          <w:tcPr>
            <w:tcW w:type="dxa" w:w="2340"/>
          </w:tcPr>
          <w:p>
            <w:r/>
            <w:r>
              <w:rPr>
                <w:rFonts w:ascii="Arial" w:hAnsi="Arial"/>
                <w:sz w:val="20"/>
              </w:rPr>
              <w:t>Must hold longest available visa period (5-year BM visa). Stable income, tax compliance, no criminal record. 10 years from first residence status (Startup Visa time counts).</w:t>
            </w:r>
          </w:p>
        </w:tc>
      </w:tr>
      <w:tr>
        <w:tc>
          <w:tcPr>
            <w:tcW w:type="dxa" w:w="2340"/>
          </w:tcPr>
          <w:p>
            <w:r/>
            <w:r>
              <w:rPr>
                <w:rFonts w:ascii="Arial" w:hAnsi="Arial"/>
                <w:sz w:val="20"/>
              </w:rPr>
              <w:t>3b</w:t>
            </w:r>
          </w:p>
        </w:tc>
        <w:tc>
          <w:tcPr>
            <w:tcW w:type="dxa" w:w="2340"/>
          </w:tcPr>
          <w:p>
            <w:r/>
            <w:r>
              <w:rPr>
                <w:rFonts w:ascii="Arial" w:hAnsi="Arial"/>
                <w:sz w:val="20"/>
              </w:rPr>
              <w:t>HSP Fast Track</w:t>
            </w:r>
          </w:p>
        </w:tc>
        <w:tc>
          <w:tcPr>
            <w:tcW w:type="dxa" w:w="2340"/>
          </w:tcPr>
          <w:p>
            <w:r/>
            <w:r>
              <w:rPr>
                <w:rFonts w:ascii="Arial" w:hAnsi="Arial"/>
                <w:sz w:val="20"/>
              </w:rPr>
              <w:t>1-3 years</w:t>
            </w:r>
          </w:p>
        </w:tc>
        <w:tc>
          <w:tcPr>
            <w:tcW w:type="dxa" w:w="2340"/>
          </w:tcPr>
          <w:p>
            <w:r/>
            <w:r>
              <w:rPr>
                <w:rFonts w:ascii="Arial" w:hAnsi="Arial"/>
                <w:sz w:val="20"/>
              </w:rPr>
              <w:t>Highly Skilled Professional points: 70+ points = PR after 3 years, 80+ points = PR after 1 year. Points from: PhD (+30), age under 30 (+15), income ¥30M+ (+25 to +50), patents, Japanese proficiency. A PhD-holding SaaS founder with ¥30M+ income could potentially hit 80 points.</w:t>
            </w:r>
          </w:p>
        </w:tc>
      </w:tr>
    </w:tbl>
    <w:p>
      <w:pPr>
        <w:pStyle w:val="Heading2"/>
      </w:pPr>
      <w:r>
        <w:rPr>
          <w:color w:val="1A1A2E"/>
        </w:rPr>
        <w:t>The October 2025 Reality Check</w:t>
      </w:r>
    </w:p>
    <w:p>
      <w:pPr>
        <w:spacing w:after="160"/>
      </w:pPr>
      <w:r>
        <w:t>The Business Manager Visa changes in October 2025 were dramatic. The capital requirement jumped from ¥5 million (~$33K) to ¥30 million (~$200K). Home offices are no longer accepted. You must hire at least one full-time local employee who is Japanese or a permanent resident. You need either a relevant graduate degree or 3+ years of management experience. And either you or your employee must pass JLPT N2 (roughly B2-level Japanese).</w:t>
      </w:r>
    </w:p>
    <w:p>
      <w:pPr>
        <w:spacing w:after="160"/>
      </w:pPr>
      <w:r>
        <w:t>This means the "move to Japan with a laptop and ¥5M" path is essentially closed. The new path requires serious capital, a real office, a real employee, and demonstrable qualifications. For a SaaS founder, the ¥30M capital requirement alone is a significant bar — though it can come from business revenue and investment, not just personal savings.</w:t>
      </w:r>
    </w:p>
    <w:p>
      <w:pPr>
        <w:pStyle w:val="Heading2"/>
      </w:pPr>
      <w:r>
        <w:rPr>
          <w:color w:val="1A1A2E"/>
        </w:rPr>
        <w:t>The HSP Fast Track: Where It Gets Interesting</w:t>
      </w:r>
    </w:p>
    <w:p>
      <w:pPr>
        <w:spacing w:after="160"/>
      </w:pPr>
      <w:r>
        <w:t>The Highly Skilled Professional (HSP) visa offers a dramatically faster PR path. With 80+ points, you can apply for permanent residency after just 1 year of residence. A PhD in Computer Science (+30 points), age under 40 (+10-15), annual income of ¥30M+ (+25 to +50), Japanese language ability (+15 for N1), and patents or published research (+additional) can stack up quickly. A business-in-a-box product for this audience would include a points calculator, a capital accumulation roadmap, and a step-by-step visa ladder timeline.</w:t>
      </w:r>
    </w:p>
    <w:p>
      <w:pPr>
        <w:pStyle w:val="Heading2"/>
      </w:pPr>
      <w:r>
        <w:rPr>
          <w:color w:val="1A1A2E"/>
        </w:rPr>
        <w:t>What the Japan Permutation Product Looks Like</w:t>
      </w:r>
    </w:p>
    <w:p>
      <w:pPr>
        <w:spacing w:after="160"/>
      </w:pPr>
      <w:r>
        <w:t>Target customer: English-speaking developer or tech professional, age 25-40, who wants to live permanently in Japan and is willing to build a real business to get there. They have some savings, technical skills, and either a graduate degree or management experience.</w:t>
      </w:r>
    </w:p>
    <w:p>
      <w:pPr>
        <w:spacing w:after="160"/>
      </w:pPr>
      <w:r>
        <w:t>The product would include: (1) a visa ladder timeline calculator that maps their specific credentials to the fastest PR path, (2) the standard business-in-a-box stack adapted for Japan (Stripe Japan, local banking options, Japanese accounting requirements, consumption tax registration), (3) municipality comparison guide for Startup Visa applications (cost of living, startup support quality, English friendliness), (4) office and employee compliance guides for the Business Manager transition, and (5) an HSP points optimizer showing exactly what to prioritize (income vs. language vs. publications) to hit 80 points fastest.</w:t>
      </w:r>
    </w:p>
    <w:p>
      <w:pPr>
        <w:pStyle w:val="Heading2"/>
      </w:pPr>
      <w:r>
        <w:rPr>
          <w:color w:val="1A1A2E"/>
        </w:rPr>
        <w:t>Grace Period Note</w:t>
      </w:r>
    </w:p>
    <w:p>
      <w:pPr>
        <w:spacing w:after="160"/>
      </w:pPr>
      <w:r>
        <w:t>Existing Business Manager and HSP-BM visa holders have until October 16, 2028 to comply with the new rules. Applications submitted before October 15, 2025 are assessed under the old rules. This creates a two-tier market: people who got in under the old rules (and have 3 years to adjust), and new applicants who face the full ¥30M requirement from day one.</w:t>
      </w:r>
    </w:p>
    <w:p>
      <w:r>
        <w:br w:type="page"/>
      </w:r>
    </w:p>
    <w:p>
      <w:pPr>
        <w:pStyle w:val="Heading1"/>
      </w:pPr>
      <w:r>
        <w:rPr>
          <w:color w:val="1A1A2E"/>
        </w:rPr>
        <w:t>Part 3: WritingPAD Marketing Activities Ranked by Potential Return</w:t>
      </w:r>
    </w:p>
    <w:p>
      <w:pPr>
        <w:pStyle w:val="Heading2"/>
      </w:pPr>
      <w:r>
        <w:rPr>
          <w:color w:val="1A1A2E"/>
        </w:rPr>
        <w:t>Activity Rankings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1a2e"/>
          </w:tcPr>
          <w:p>
            <w:r/>
            <w:r>
              <w:rPr>
                <w:rFonts w:ascii="Arial" w:hAnsi="Arial"/>
                <w:b/>
                <w:color w:val="FFFFFF"/>
                <w:sz w:val="20"/>
              </w:rPr>
              <w:t>Rank</w:t>
            </w:r>
          </w:p>
        </w:tc>
        <w:tc>
          <w:tcPr>
            <w:tcW w:type="dxa" w:w="1872"/>
            <w:shd w:val="clear" w:color="auto" w:fill="1a1a2e"/>
          </w:tcPr>
          <w:p>
            <w:r/>
            <w:r>
              <w:rPr>
                <w:rFonts w:ascii="Arial" w:hAnsi="Arial"/>
                <w:b/>
                <w:color w:val="FFFFFF"/>
                <w:sz w:val="20"/>
              </w:rPr>
              <w:t>Activity</w:t>
            </w:r>
          </w:p>
        </w:tc>
        <w:tc>
          <w:tcPr>
            <w:tcW w:type="dxa" w:w="1872"/>
            <w:shd w:val="clear" w:color="auto" w:fill="1a1a2e"/>
          </w:tcPr>
          <w:p>
            <w:r/>
            <w:r>
              <w:rPr>
                <w:rFonts w:ascii="Arial" w:hAnsi="Arial"/>
                <w:b/>
                <w:color w:val="FFFFFF"/>
                <w:sz w:val="20"/>
              </w:rPr>
              <w:t>Cost</w:t>
            </w:r>
          </w:p>
        </w:tc>
        <w:tc>
          <w:tcPr>
            <w:tcW w:type="dxa" w:w="1872"/>
            <w:shd w:val="clear" w:color="auto" w:fill="1a1a2e"/>
          </w:tcPr>
          <w:p>
            <w:r/>
            <w:r>
              <w:rPr>
                <w:rFonts w:ascii="Arial" w:hAnsi="Arial"/>
                <w:b/>
                <w:color w:val="FFFFFF"/>
                <w:sz w:val="20"/>
              </w:rPr>
              <w:t>Effort</w:t>
            </w:r>
          </w:p>
        </w:tc>
        <w:tc>
          <w:tcPr>
            <w:tcW w:type="dxa" w:w="1872"/>
            <w:shd w:val="clear" w:color="auto" w:fill="1a1a2e"/>
          </w:tcPr>
          <w:p>
            <w:r/>
            <w:r>
              <w:rPr>
                <w:rFonts w:ascii="Arial" w:hAnsi="Arial"/>
                <w:b/>
                <w:color w:val="FFFFFF"/>
                <w:sz w:val="20"/>
              </w:rPr>
              <w:t>Expected Return</w:t>
            </w:r>
          </w:p>
        </w:tc>
      </w:tr>
      <w:tr>
        <w:tc>
          <w:tcPr>
            <w:tcW w:type="dxa" w:w="1872"/>
          </w:tcPr>
          <w:p>
            <w:r/>
            <w:r>
              <w:rPr>
                <w:rFonts w:ascii="Arial" w:hAnsi="Arial"/>
                <w:sz w:val="20"/>
              </w:rPr>
              <w:t>1</w:t>
            </w:r>
          </w:p>
        </w:tc>
        <w:tc>
          <w:tcPr>
            <w:tcW w:type="dxa" w:w="1872"/>
          </w:tcPr>
          <w:p>
            <w:r/>
            <w:r>
              <w:rPr>
                <w:rFonts w:ascii="Arial" w:hAnsi="Arial"/>
                <w:sz w:val="20"/>
              </w:rPr>
              <w:t>SEO blog content (ongoing)</w:t>
            </w:r>
          </w:p>
        </w:tc>
        <w:tc>
          <w:tcPr>
            <w:tcW w:type="dxa" w:w="1872"/>
          </w:tcPr>
          <w:p>
            <w:r/>
            <w:r>
              <w:rPr>
                <w:rFonts w:ascii="Arial" w:hAnsi="Arial"/>
                <w:sz w:val="20"/>
              </w:rPr>
              <w:t>£0 (time only)</w:t>
            </w:r>
          </w:p>
        </w:tc>
        <w:tc>
          <w:tcPr>
            <w:tcW w:type="dxa" w:w="1872"/>
          </w:tcPr>
          <w:p>
            <w:r/>
            <w:r>
              <w:rPr>
                <w:rFonts w:ascii="Arial" w:hAnsi="Arial"/>
                <w:sz w:val="20"/>
              </w:rPr>
              <w:t>Medium (2-4 hrs/post)</w:t>
            </w:r>
          </w:p>
        </w:tc>
        <w:tc>
          <w:tcPr>
            <w:tcW w:type="dxa" w:w="1872"/>
          </w:tcPr>
          <w:p>
            <w:r/>
            <w:r>
              <w:rPr>
                <w:rFonts w:ascii="Arial" w:hAnsi="Arial"/>
                <w:sz w:val="20"/>
              </w:rPr>
              <w:t>HIGH. Long-tail keywords like "how to write PAD feedback" have low competition and high intent. Each post is a permanent asset. 6 posts already live; aim for 12+ by summer. This is your highest-ROI channel.</w:t>
            </w:r>
          </w:p>
        </w:tc>
      </w:tr>
      <w:tr>
        <w:tc>
          <w:tcPr>
            <w:tcW w:type="dxa" w:w="1872"/>
          </w:tcPr>
          <w:p>
            <w:r/>
            <w:r>
              <w:rPr>
                <w:rFonts w:ascii="Arial" w:hAnsi="Arial"/>
                <w:sz w:val="20"/>
              </w:rPr>
              <w:t>2</w:t>
            </w:r>
          </w:p>
        </w:tc>
        <w:tc>
          <w:tcPr>
            <w:tcW w:type="dxa" w:w="1872"/>
          </w:tcPr>
          <w:p>
            <w:r/>
            <w:r>
              <w:rPr>
                <w:rFonts w:ascii="Arial" w:hAnsi="Arial"/>
                <w:sz w:val="20"/>
              </w:rPr>
              <w:t>LinkedIn organic posts (weekly)</w:t>
            </w:r>
          </w:p>
        </w:tc>
        <w:tc>
          <w:tcPr>
            <w:tcW w:type="dxa" w:w="1872"/>
          </w:tcPr>
          <w:p>
            <w:r/>
            <w:r>
              <w:rPr>
                <w:rFonts w:ascii="Arial" w:hAnsi="Arial"/>
                <w:sz w:val="20"/>
              </w:rPr>
              <w:t>£0</w:t>
            </w:r>
          </w:p>
        </w:tc>
        <w:tc>
          <w:tcPr>
            <w:tcW w:type="dxa" w:w="1872"/>
          </w:tcPr>
          <w:p>
            <w:r/>
            <w:r>
              <w:rPr>
                <w:rFonts w:ascii="Arial" w:hAnsi="Arial"/>
                <w:sz w:val="20"/>
              </w:rPr>
              <w:t>Low (30 min/post)</w:t>
            </w:r>
          </w:p>
        </w:tc>
        <w:tc>
          <w:tcPr>
            <w:tcW w:type="dxa" w:w="1872"/>
          </w:tcPr>
          <w:p>
            <w:r/>
            <w:r>
              <w:rPr>
                <w:rFonts w:ascii="Arial" w:hAnsi="Arial"/>
                <w:sz w:val="20"/>
              </w:rPr>
              <w:t>HIGH. Direct access to UK nurse educators, practice education facilitators, and programme leads. Post 1 (intro) is live, Post 2 (founder story) ready for today. Aim for 1-2 posts/week. Follow and engage with university nursing departments and RCN pages between posts.</w:t>
            </w:r>
          </w:p>
        </w:tc>
      </w:tr>
      <w:tr>
        <w:tc>
          <w:tcPr>
            <w:tcW w:type="dxa" w:w="1872"/>
          </w:tcPr>
          <w:p>
            <w:r/>
            <w:r>
              <w:rPr>
                <w:rFonts w:ascii="Arial" w:hAnsi="Arial"/>
                <w:sz w:val="20"/>
              </w:rPr>
              <w:t>3</w:t>
            </w:r>
          </w:p>
        </w:tc>
        <w:tc>
          <w:tcPr>
            <w:tcW w:type="dxa" w:w="1872"/>
          </w:tcPr>
          <w:p>
            <w:r/>
            <w:r>
              <w:rPr>
                <w:rFonts w:ascii="Arial" w:hAnsi="Arial"/>
                <w:sz w:val="20"/>
              </w:rPr>
              <w:t>University nursing department outreach</w:t>
            </w:r>
          </w:p>
        </w:tc>
        <w:tc>
          <w:tcPr>
            <w:tcW w:type="dxa" w:w="1872"/>
          </w:tcPr>
          <w:p>
            <w:r/>
            <w:r>
              <w:rPr>
                <w:rFonts w:ascii="Arial" w:hAnsi="Arial"/>
                <w:sz w:val="20"/>
              </w:rPr>
              <w:t>£0</w:t>
            </w:r>
          </w:p>
        </w:tc>
        <w:tc>
          <w:tcPr>
            <w:tcW w:type="dxa" w:w="1872"/>
          </w:tcPr>
          <w:p>
            <w:r/>
            <w:r>
              <w:rPr>
                <w:rFonts w:ascii="Arial" w:hAnsi="Arial"/>
                <w:sz w:val="20"/>
              </w:rPr>
              <w:t>Medium (emails + follow-up)</w:t>
            </w:r>
          </w:p>
        </w:tc>
        <w:tc>
          <w:tcPr>
            <w:tcW w:type="dxa" w:w="1872"/>
          </w:tcPr>
          <w:p>
            <w:r/>
            <w:r>
              <w:rPr>
                <w:rFonts w:ascii="Arial" w:hAnsi="Arial"/>
                <w:sz w:val="20"/>
              </w:rPr>
              <w:t>HIGH. Practice Education Facilitators (PEFs) are the gatekeepers. One PEF endorsement could reach dozens of assessors. Bournemouth (Amanda Watson meeting March 6) is first target. Tier 1 universities (King's, Manchester, Leeds, Sheffield, Southampton) next.</w:t>
            </w:r>
          </w:p>
        </w:tc>
      </w:tr>
      <w:tr>
        <w:tc>
          <w:tcPr>
            <w:tcW w:type="dxa" w:w="1872"/>
          </w:tcPr>
          <w:p>
            <w:r/>
            <w:r>
              <w:rPr>
                <w:rFonts w:ascii="Arial" w:hAnsi="Arial"/>
                <w:sz w:val="20"/>
              </w:rPr>
              <w:t>4</w:t>
            </w:r>
          </w:p>
        </w:tc>
        <w:tc>
          <w:tcPr>
            <w:tcW w:type="dxa" w:w="1872"/>
          </w:tcPr>
          <w:p>
            <w:r/>
            <w:r>
              <w:rPr>
                <w:rFonts w:ascii="Arial" w:hAnsi="Arial"/>
                <w:sz w:val="20"/>
              </w:rPr>
              <w:t>#WeNurses Twitter/X engagement</w:t>
            </w:r>
          </w:p>
        </w:tc>
        <w:tc>
          <w:tcPr>
            <w:tcW w:type="dxa" w:w="1872"/>
          </w:tcPr>
          <w:p>
            <w:r/>
            <w:r>
              <w:rPr>
                <w:rFonts w:ascii="Arial" w:hAnsi="Arial"/>
                <w:sz w:val="20"/>
              </w:rPr>
              <w:t>£0</w:t>
            </w:r>
          </w:p>
        </w:tc>
        <w:tc>
          <w:tcPr>
            <w:tcW w:type="dxa" w:w="1872"/>
          </w:tcPr>
          <w:p>
            <w:r/>
            <w:r>
              <w:rPr>
                <w:rFonts w:ascii="Arial" w:hAnsi="Arial"/>
                <w:sz w:val="20"/>
              </w:rPr>
              <w:t>Low-Medium (attend chats)</w:t>
            </w:r>
          </w:p>
        </w:tc>
        <w:tc>
          <w:tcPr>
            <w:tcW w:type="dxa" w:w="1872"/>
          </w:tcPr>
          <w:p>
            <w:r/>
            <w:r>
              <w:rPr>
                <w:rFonts w:ascii="Arial" w:hAnsi="Arial"/>
                <w:sz w:val="20"/>
              </w:rPr>
              <w:t>MEDIUM-HIGH. Tuesday and Thursday 8-9pm UK time chats with 96,700+ followers. Don't pitch — participate genuinely in PAD/placement discussions, mention WritingPAD only when directly relevant. Builds credibility over weeks.</w:t>
            </w:r>
          </w:p>
        </w:tc>
      </w:tr>
      <w:tr>
        <w:tc>
          <w:tcPr>
            <w:tcW w:type="dxa" w:w="1872"/>
          </w:tcPr>
          <w:p>
            <w:r/>
            <w:r>
              <w:rPr>
                <w:rFonts w:ascii="Arial" w:hAnsi="Arial"/>
                <w:sz w:val="20"/>
              </w:rPr>
              <w:t>5</w:t>
            </w:r>
          </w:p>
        </w:tc>
        <w:tc>
          <w:tcPr>
            <w:tcW w:type="dxa" w:w="1872"/>
          </w:tcPr>
          <w:p>
            <w:r/>
            <w:r>
              <w:rPr>
                <w:rFonts w:ascii="Arial" w:hAnsi="Arial"/>
                <w:sz w:val="20"/>
              </w:rPr>
              <w:t>RCN Education Forum (April 15, 2026)</w:t>
            </w:r>
          </w:p>
        </w:tc>
        <w:tc>
          <w:tcPr>
            <w:tcW w:type="dxa" w:w="1872"/>
          </w:tcPr>
          <w:p>
            <w:r/>
            <w:r>
              <w:rPr>
                <w:rFonts w:ascii="Arial" w:hAnsi="Arial"/>
                <w:sz w:val="20"/>
              </w:rPr>
              <w:t>£500-2000 (exhibitor)</w:t>
            </w:r>
          </w:p>
        </w:tc>
        <w:tc>
          <w:tcPr>
            <w:tcW w:type="dxa" w:w="1872"/>
          </w:tcPr>
          <w:p>
            <w:r/>
            <w:r>
              <w:rPr>
                <w:rFonts w:ascii="Arial" w:hAnsi="Arial"/>
                <w:sz w:val="20"/>
              </w:rPr>
              <w:t>High (prep + attend)</w:t>
            </w:r>
          </w:p>
        </w:tc>
        <w:tc>
          <w:tcPr>
            <w:tcW w:type="dxa" w:w="1872"/>
          </w:tcPr>
          <w:p>
            <w:r/>
            <w:r>
              <w:rPr>
                <w:rFonts w:ascii="Arial" w:hAnsi="Arial"/>
                <w:sz w:val="20"/>
              </w:rPr>
              <w:t>MEDIUM-HIGH. Direct access to hundreds of nurse educators in one room. You've emailed but no response yet. See RCN follow-up section below. Even attending without exhibiting has networking value.</w:t>
            </w:r>
          </w:p>
        </w:tc>
      </w:tr>
      <w:tr>
        <w:tc>
          <w:tcPr>
            <w:tcW w:type="dxa" w:w="1872"/>
          </w:tcPr>
          <w:p>
            <w:r/>
            <w:r>
              <w:rPr>
                <w:rFonts w:ascii="Arial" w:hAnsi="Arial"/>
                <w:sz w:val="20"/>
              </w:rPr>
              <w:t>6</w:t>
            </w:r>
          </w:p>
        </w:tc>
        <w:tc>
          <w:tcPr>
            <w:tcW w:type="dxa" w:w="1872"/>
          </w:tcPr>
          <w:p>
            <w:r/>
            <w:r>
              <w:rPr>
                <w:rFonts w:ascii="Arial" w:hAnsi="Arial"/>
                <w:sz w:val="20"/>
              </w:rPr>
              <w:t>Google Ads (PPC)</w:t>
            </w:r>
          </w:p>
        </w:tc>
        <w:tc>
          <w:tcPr>
            <w:tcW w:type="dxa" w:w="1872"/>
          </w:tcPr>
          <w:p>
            <w:r/>
            <w:r>
              <w:rPr>
                <w:rFonts w:ascii="Arial" w:hAnsi="Arial"/>
                <w:sz w:val="20"/>
              </w:rPr>
              <w:t>£300-500/month</w:t>
            </w:r>
          </w:p>
        </w:tc>
        <w:tc>
          <w:tcPr>
            <w:tcW w:type="dxa" w:w="1872"/>
          </w:tcPr>
          <w:p>
            <w:r/>
            <w:r>
              <w:rPr>
                <w:rFonts w:ascii="Arial" w:hAnsi="Arial"/>
                <w:sz w:val="20"/>
              </w:rPr>
              <w:t>Medium (setup + optimize)</w:t>
            </w:r>
          </w:p>
        </w:tc>
        <w:tc>
          <w:tcPr>
            <w:tcW w:type="dxa" w:w="1872"/>
          </w:tcPr>
          <w:p>
            <w:r/>
            <w:r>
              <w:rPr>
                <w:rFonts w:ascii="Arial" w:hAnsi="Arial"/>
                <w:sz w:val="20"/>
              </w:rPr>
              <w:t>MEDIUM. Target "PAD feedback examples," "practice assessor feedback help." Low competition keywords should yield cheap clicks. Only worth starting once landing page and onboarding are polished. Test with £200 first month.</w:t>
            </w:r>
          </w:p>
        </w:tc>
      </w:tr>
      <w:tr>
        <w:tc>
          <w:tcPr>
            <w:tcW w:type="dxa" w:w="1872"/>
          </w:tcPr>
          <w:p>
            <w:r/>
            <w:r>
              <w:rPr>
                <w:rFonts w:ascii="Arial" w:hAnsi="Arial"/>
                <w:sz w:val="20"/>
              </w:rPr>
              <w:t>7</w:t>
            </w:r>
          </w:p>
        </w:tc>
        <w:tc>
          <w:tcPr>
            <w:tcW w:type="dxa" w:w="1872"/>
          </w:tcPr>
          <w:p>
            <w:r/>
            <w:r>
              <w:rPr>
                <w:rFonts w:ascii="Arial" w:hAnsi="Arial"/>
                <w:sz w:val="20"/>
              </w:rPr>
              <w:t>BJN Conference &amp; Awards</w:t>
            </w:r>
          </w:p>
        </w:tc>
        <w:tc>
          <w:tcPr>
            <w:tcW w:type="dxa" w:w="1872"/>
          </w:tcPr>
          <w:p>
            <w:r/>
            <w:r>
              <w:rPr>
                <w:rFonts w:ascii="Arial" w:hAnsi="Arial"/>
                <w:sz w:val="20"/>
              </w:rPr>
              <w:t>£0-200 (first 50 often free)</w:t>
            </w:r>
          </w:p>
        </w:tc>
        <w:tc>
          <w:tcPr>
            <w:tcW w:type="dxa" w:w="1872"/>
          </w:tcPr>
          <w:p>
            <w:r/>
            <w:r>
              <w:rPr>
                <w:rFonts w:ascii="Arial" w:hAnsi="Arial"/>
                <w:sz w:val="20"/>
              </w:rPr>
              <w:t>Medium</w:t>
            </w:r>
          </w:p>
        </w:tc>
        <w:tc>
          <w:tcPr>
            <w:tcW w:type="dxa" w:w="1872"/>
          </w:tcPr>
          <w:p>
            <w:r/>
            <w:r>
              <w:rPr>
                <w:rFonts w:ascii="Arial" w:hAnsi="Arial"/>
                <w:sz w:val="20"/>
              </w:rPr>
              <w:t>MEDIUM. British Journal of Nursing annual event in London. Smaller than RCN but more focused. Worth attending if timing works. Watch for 2026 date announcement.</w:t>
            </w:r>
          </w:p>
        </w:tc>
      </w:tr>
      <w:tr>
        <w:tc>
          <w:tcPr>
            <w:tcW w:type="dxa" w:w="1872"/>
          </w:tcPr>
          <w:p>
            <w:r/>
            <w:r>
              <w:rPr>
                <w:rFonts w:ascii="Arial" w:hAnsi="Arial"/>
                <w:sz w:val="20"/>
              </w:rPr>
              <w:t>8</w:t>
            </w:r>
          </w:p>
        </w:tc>
        <w:tc>
          <w:tcPr>
            <w:tcW w:type="dxa" w:w="1872"/>
          </w:tcPr>
          <w:p>
            <w:r/>
            <w:r>
              <w:rPr>
                <w:rFonts w:ascii="Arial" w:hAnsi="Arial"/>
                <w:sz w:val="20"/>
              </w:rPr>
              <w:t>Nursing Times / BJN advertorial</w:t>
            </w:r>
          </w:p>
        </w:tc>
        <w:tc>
          <w:tcPr>
            <w:tcW w:type="dxa" w:w="1872"/>
          </w:tcPr>
          <w:p>
            <w:r/>
            <w:r>
              <w:rPr>
                <w:rFonts w:ascii="Arial" w:hAnsi="Arial"/>
                <w:sz w:val="20"/>
              </w:rPr>
              <w:t>£500-1500</w:t>
            </w:r>
          </w:p>
        </w:tc>
        <w:tc>
          <w:tcPr>
            <w:tcW w:type="dxa" w:w="1872"/>
          </w:tcPr>
          <w:p>
            <w:r/>
            <w:r>
              <w:rPr>
                <w:rFonts w:ascii="Arial" w:hAnsi="Arial"/>
                <w:sz w:val="20"/>
              </w:rPr>
              <w:t>Medium</w:t>
            </w:r>
          </w:p>
        </w:tc>
        <w:tc>
          <w:tcPr>
            <w:tcW w:type="dxa" w:w="1872"/>
          </w:tcPr>
          <w:p>
            <w:r/>
            <w:r>
              <w:rPr>
                <w:rFonts w:ascii="Arial" w:hAnsi="Arial"/>
                <w:sz w:val="20"/>
              </w:rPr>
              <w:t>MEDIUM. Paid content placement in publications nurse educators actually read. More credible than ads. Best timed after you have testimonials or university endorsements to cite.</w:t>
            </w:r>
          </w:p>
        </w:tc>
      </w:tr>
      <w:tr>
        <w:tc>
          <w:tcPr>
            <w:tcW w:type="dxa" w:w="1872"/>
          </w:tcPr>
          <w:p>
            <w:r/>
            <w:r>
              <w:rPr>
                <w:rFonts w:ascii="Arial" w:hAnsi="Arial"/>
                <w:sz w:val="20"/>
              </w:rPr>
              <w:t>9</w:t>
            </w:r>
          </w:p>
        </w:tc>
        <w:tc>
          <w:tcPr>
            <w:tcW w:type="dxa" w:w="1872"/>
          </w:tcPr>
          <w:p>
            <w:r/>
            <w:r>
              <w:rPr>
                <w:rFonts w:ascii="Arial" w:hAnsi="Arial"/>
                <w:sz w:val="20"/>
              </w:rPr>
              <w:t>LinkedIn Ads</w:t>
            </w:r>
          </w:p>
        </w:tc>
        <w:tc>
          <w:tcPr>
            <w:tcW w:type="dxa" w:w="1872"/>
          </w:tcPr>
          <w:p>
            <w:r/>
            <w:r>
              <w:rPr>
                <w:rFonts w:ascii="Arial" w:hAnsi="Arial"/>
                <w:sz w:val="20"/>
              </w:rPr>
              <w:t>£100-200/month</w:t>
            </w:r>
          </w:p>
        </w:tc>
        <w:tc>
          <w:tcPr>
            <w:tcW w:type="dxa" w:w="1872"/>
          </w:tcPr>
          <w:p>
            <w:r/>
            <w:r>
              <w:rPr>
                <w:rFonts w:ascii="Arial" w:hAnsi="Arial"/>
                <w:sz w:val="20"/>
              </w:rPr>
              <w:t>Medium</w:t>
            </w:r>
          </w:p>
        </w:tc>
        <w:tc>
          <w:tcPr>
            <w:tcW w:type="dxa" w:w="1872"/>
          </w:tcPr>
          <w:p>
            <w:r/>
            <w:r>
              <w:rPr>
                <w:rFonts w:ascii="Arial" w:hAnsi="Arial"/>
                <w:sz w:val="20"/>
              </w:rPr>
              <w:t>LOW-MEDIUM. Can target by job title (Practice Assessor, Nurse Educator) and employer (NHS Trusts, universities). Expensive per click but precise targeting. Test only after organic LinkedIn proves the messaging resonates.</w:t>
            </w:r>
          </w:p>
        </w:tc>
      </w:tr>
      <w:tr>
        <w:tc>
          <w:tcPr>
            <w:tcW w:type="dxa" w:w="1872"/>
          </w:tcPr>
          <w:p>
            <w:r/>
            <w:r>
              <w:rPr>
                <w:rFonts w:ascii="Arial" w:hAnsi="Arial"/>
                <w:sz w:val="20"/>
              </w:rPr>
              <w:t>10</w:t>
            </w:r>
          </w:p>
        </w:tc>
        <w:tc>
          <w:tcPr>
            <w:tcW w:type="dxa" w:w="1872"/>
          </w:tcPr>
          <w:p>
            <w:r/>
            <w:r>
              <w:rPr>
                <w:rFonts w:ascii="Arial" w:hAnsi="Arial"/>
                <w:sz w:val="20"/>
              </w:rPr>
              <w:t>Nursing forum participation</w:t>
            </w:r>
          </w:p>
        </w:tc>
        <w:tc>
          <w:tcPr>
            <w:tcW w:type="dxa" w:w="1872"/>
          </w:tcPr>
          <w:p>
            <w:r/>
            <w:r>
              <w:rPr>
                <w:rFonts w:ascii="Arial" w:hAnsi="Arial"/>
                <w:sz w:val="20"/>
              </w:rPr>
              <w:t>£0</w:t>
            </w:r>
          </w:p>
        </w:tc>
        <w:tc>
          <w:tcPr>
            <w:tcW w:type="dxa" w:w="1872"/>
          </w:tcPr>
          <w:p>
            <w:r/>
            <w:r>
              <w:rPr>
                <w:rFonts w:ascii="Arial" w:hAnsi="Arial"/>
                <w:sz w:val="20"/>
              </w:rPr>
              <w:t>Low (ongoing)</w:t>
            </w:r>
          </w:p>
        </w:tc>
        <w:tc>
          <w:tcPr>
            <w:tcW w:type="dxa" w:w="1872"/>
          </w:tcPr>
          <w:p>
            <w:r/>
            <w:r>
              <w:rPr>
                <w:rFonts w:ascii="Arial" w:hAnsi="Arial"/>
                <w:sz w:val="20"/>
              </w:rPr>
              <w:t>LOW-MEDIUM. Forums like allnurses.com (UK section), NursingNetUK. Low volume but high intent. Answer questions about PAD feedback naturally, link to blog posts.</w:t>
            </w:r>
          </w:p>
        </w:tc>
      </w:tr>
      <w:tr>
        <w:tc>
          <w:tcPr>
            <w:tcW w:type="dxa" w:w="1872"/>
          </w:tcPr>
          <w:p>
            <w:r/>
            <w:r>
              <w:rPr>
                <w:rFonts w:ascii="Arial" w:hAnsi="Arial"/>
                <w:sz w:val="20"/>
              </w:rPr>
              <w:t>11</w:t>
            </w:r>
          </w:p>
        </w:tc>
        <w:tc>
          <w:tcPr>
            <w:tcW w:type="dxa" w:w="1872"/>
          </w:tcPr>
          <w:p>
            <w:r/>
            <w:r>
              <w:rPr>
                <w:rFonts w:ascii="Arial" w:hAnsi="Arial"/>
                <w:sz w:val="20"/>
              </w:rPr>
              <w:t>NETNEP 2026 (Nov 1-4, Edinburgh)</w:t>
            </w:r>
          </w:p>
        </w:tc>
        <w:tc>
          <w:tcPr>
            <w:tcW w:type="dxa" w:w="1872"/>
          </w:tcPr>
          <w:p>
            <w:r/>
            <w:r>
              <w:rPr>
                <w:rFonts w:ascii="Arial" w:hAnsi="Arial"/>
                <w:sz w:val="20"/>
              </w:rPr>
              <w:t>£500+ (registration)</w:t>
            </w:r>
          </w:p>
        </w:tc>
        <w:tc>
          <w:tcPr>
            <w:tcW w:type="dxa" w:w="1872"/>
          </w:tcPr>
          <w:p>
            <w:r/>
            <w:r>
              <w:rPr>
                <w:rFonts w:ascii="Arial" w:hAnsi="Arial"/>
                <w:sz w:val="20"/>
              </w:rPr>
              <w:t>High</w:t>
            </w:r>
          </w:p>
        </w:tc>
        <w:tc>
          <w:tcPr>
            <w:tcW w:type="dxa" w:w="1872"/>
          </w:tcPr>
          <w:p>
            <w:r/>
            <w:r>
              <w:rPr>
                <w:rFonts w:ascii="Arial" w:hAnsi="Arial"/>
                <w:sz w:val="20"/>
              </w:rPr>
              <w:t>LOW-MEDIUM. International nurse education conference. Good for academic credibility and potential research collaboration, but attendees are academics not end-users. Better for your dissertation networking than direct sales.</w:t>
            </w:r>
          </w:p>
        </w:tc>
      </w:tr>
      <w:tr>
        <w:tc>
          <w:tcPr>
            <w:tcW w:type="dxa" w:w="1872"/>
          </w:tcPr>
          <w:p>
            <w:r/>
            <w:r>
              <w:rPr>
                <w:rFonts w:ascii="Arial" w:hAnsi="Arial"/>
                <w:sz w:val="20"/>
              </w:rPr>
              <w:t>12</w:t>
            </w:r>
          </w:p>
        </w:tc>
        <w:tc>
          <w:tcPr>
            <w:tcW w:type="dxa" w:w="1872"/>
          </w:tcPr>
          <w:p>
            <w:r/>
            <w:r>
              <w:rPr>
                <w:rFonts w:ascii="Arial" w:hAnsi="Arial"/>
                <w:sz w:val="20"/>
              </w:rPr>
              <w:t>Referral programme</w:t>
            </w:r>
          </w:p>
        </w:tc>
        <w:tc>
          <w:tcPr>
            <w:tcW w:type="dxa" w:w="1872"/>
          </w:tcPr>
          <w:p>
            <w:r/>
            <w:r>
              <w:rPr>
                <w:rFonts w:ascii="Arial" w:hAnsi="Arial"/>
                <w:sz w:val="20"/>
              </w:rPr>
              <w:t>Variable</w:t>
            </w:r>
          </w:p>
        </w:tc>
        <w:tc>
          <w:tcPr>
            <w:tcW w:type="dxa" w:w="1872"/>
          </w:tcPr>
          <w:p>
            <w:r/>
            <w:r>
              <w:rPr>
                <w:rFonts w:ascii="Arial" w:hAnsi="Arial"/>
                <w:sz w:val="20"/>
              </w:rPr>
              <w:t>Medium (build)</w:t>
            </w:r>
          </w:p>
        </w:tc>
        <w:tc>
          <w:tcPr>
            <w:tcW w:type="dxa" w:w="1872"/>
          </w:tcPr>
          <w:p>
            <w:r/>
            <w:r>
              <w:rPr>
                <w:rFonts w:ascii="Arial" w:hAnsi="Arial"/>
                <w:sz w:val="20"/>
              </w:rPr>
              <w:t>LOW (for now). Only works once you have paying users who love the product. Design it now but don't launch until you have 20+ active subscribers.</w:t>
            </w:r>
          </w:p>
        </w:tc>
      </w:tr>
    </w:tbl>
    <w:p>
      <w:pPr>
        <w:pStyle w:val="Heading2"/>
      </w:pPr>
      <w:r>
        <w:rPr>
          <w:color w:val="1A1A2E"/>
        </w:rPr>
        <w:t>Posting Cadence Recommendation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1a2e"/>
          </w:tcPr>
          <w:p>
            <w:r/>
            <w:r>
              <w:rPr>
                <w:rFonts w:ascii="Arial" w:hAnsi="Arial"/>
                <w:b/>
                <w:color w:val="FFFFFF"/>
                <w:sz w:val="20"/>
              </w:rPr>
              <w:t>Platform</w:t>
            </w:r>
          </w:p>
        </w:tc>
        <w:tc>
          <w:tcPr>
            <w:tcW w:type="dxa" w:w="3120"/>
            <w:shd w:val="clear" w:color="auto" w:fill="1a1a2e"/>
          </w:tcPr>
          <w:p>
            <w:r/>
            <w:r>
              <w:rPr>
                <w:rFonts w:ascii="Arial" w:hAnsi="Arial"/>
                <w:b/>
                <w:color w:val="FFFFFF"/>
                <w:sz w:val="20"/>
              </w:rPr>
              <w:t>Frequency</w:t>
            </w:r>
          </w:p>
        </w:tc>
        <w:tc>
          <w:tcPr>
            <w:tcW w:type="dxa" w:w="3120"/>
            <w:shd w:val="clear" w:color="auto" w:fill="1a1a2e"/>
          </w:tcPr>
          <w:p>
            <w:r/>
            <w:r>
              <w:rPr>
                <w:rFonts w:ascii="Arial" w:hAnsi="Arial"/>
                <w:b/>
                <w:color w:val="FFFFFF"/>
                <w:sz w:val="20"/>
              </w:rPr>
              <w:t>Notes</w:t>
            </w:r>
          </w:p>
        </w:tc>
      </w:tr>
      <w:tr>
        <w:tc>
          <w:tcPr>
            <w:tcW w:type="dxa" w:w="3120"/>
          </w:tcPr>
          <w:p>
            <w:r/>
            <w:r>
              <w:rPr>
                <w:rFonts w:ascii="Arial" w:hAnsi="Arial"/>
                <w:sz w:val="20"/>
              </w:rPr>
              <w:t>LinkedIn (WritingPAD page)</w:t>
            </w:r>
          </w:p>
        </w:tc>
        <w:tc>
          <w:tcPr>
            <w:tcW w:type="dxa" w:w="3120"/>
          </w:tcPr>
          <w:p>
            <w:r/>
            <w:r>
              <w:rPr>
                <w:rFonts w:ascii="Arial" w:hAnsi="Arial"/>
                <w:sz w:val="20"/>
              </w:rPr>
              <w:t>1-2 posts/week</w:t>
            </w:r>
          </w:p>
        </w:tc>
        <w:tc>
          <w:tcPr>
            <w:tcW w:type="dxa" w:w="3120"/>
          </w:tcPr>
          <w:p>
            <w:r/>
            <w:r>
              <w:rPr>
                <w:rFonts w:ascii="Arial" w:hAnsi="Arial"/>
                <w:sz w:val="20"/>
              </w:rPr>
              <w:t>Tuesday and Thursday are highest engagement days for B2B/education. Alternate between: founder story, blog share, feature highlight, and engagement question posts. Comment on 3-5 relevant posts daily to build visibility.</w:t>
            </w:r>
          </w:p>
        </w:tc>
      </w:tr>
      <w:tr>
        <w:tc>
          <w:tcPr>
            <w:tcW w:type="dxa" w:w="3120"/>
          </w:tcPr>
          <w:p>
            <w:r/>
            <w:r>
              <w:rPr>
                <w:rFonts w:ascii="Arial" w:hAnsi="Arial"/>
                <w:sz w:val="20"/>
              </w:rPr>
              <w:t>Twitter/X</w:t>
            </w:r>
          </w:p>
        </w:tc>
        <w:tc>
          <w:tcPr>
            <w:tcW w:type="dxa" w:w="3120"/>
          </w:tcPr>
          <w:p>
            <w:r/>
            <w:r>
              <w:rPr>
                <w:rFonts w:ascii="Arial" w:hAnsi="Arial"/>
                <w:sz w:val="20"/>
              </w:rPr>
              <w:t>2-3 tweets/week + chat participation</w:t>
            </w:r>
          </w:p>
        </w:tc>
        <w:tc>
          <w:tcPr>
            <w:tcW w:type="dxa" w:w="3120"/>
          </w:tcPr>
          <w:p>
            <w:r/>
            <w:r>
              <w:rPr>
                <w:rFonts w:ascii="Arial" w:hAnsi="Arial"/>
                <w:sz w:val="20"/>
              </w:rPr>
              <w:t>#WeNurses chats Tue/Thu 8-9pm UK. Share blog posts, engage with nursing education conversations. Don't automate — authentic engagement matters here.</w:t>
            </w:r>
          </w:p>
        </w:tc>
      </w:tr>
      <w:tr>
        <w:tc>
          <w:tcPr>
            <w:tcW w:type="dxa" w:w="3120"/>
          </w:tcPr>
          <w:p>
            <w:r/>
            <w:r>
              <w:rPr>
                <w:rFonts w:ascii="Arial" w:hAnsi="Arial"/>
                <w:sz w:val="20"/>
              </w:rPr>
              <w:t>Blog (writingpad.co.uk)</w:t>
            </w:r>
          </w:p>
        </w:tc>
        <w:tc>
          <w:tcPr>
            <w:tcW w:type="dxa" w:w="3120"/>
          </w:tcPr>
          <w:p>
            <w:r/>
            <w:r>
              <w:rPr>
                <w:rFonts w:ascii="Arial" w:hAnsi="Arial"/>
                <w:sz w:val="20"/>
              </w:rPr>
              <w:t>2 posts/month</w:t>
            </w:r>
          </w:p>
        </w:tc>
        <w:tc>
          <w:tcPr>
            <w:tcW w:type="dxa" w:w="3120"/>
          </w:tcPr>
          <w:p>
            <w:r/>
            <w:r>
              <w:rPr>
                <w:rFonts w:ascii="Arial" w:hAnsi="Arial"/>
                <w:sz w:val="20"/>
              </w:rPr>
              <w:t>SEO-focused long-form content. Target one specific keyword per post. Next suggested post: "Practice Supervisor Feedback: What to Write for the Practice Assessor."</w:t>
            </w:r>
          </w:p>
        </w:tc>
      </w:tr>
      <w:tr>
        <w:tc>
          <w:tcPr>
            <w:tcW w:type="dxa" w:w="3120"/>
          </w:tcPr>
          <w:p>
            <w:r/>
            <w:r>
              <w:rPr>
                <w:rFonts w:ascii="Arial" w:hAnsi="Arial"/>
                <w:sz w:val="20"/>
              </w:rPr>
              <w:t>Email outreach (universities)</w:t>
            </w:r>
          </w:p>
        </w:tc>
        <w:tc>
          <w:tcPr>
            <w:tcW w:type="dxa" w:w="3120"/>
          </w:tcPr>
          <w:p>
            <w:r/>
            <w:r>
              <w:rPr>
                <w:rFonts w:ascii="Arial" w:hAnsi="Arial"/>
                <w:sz w:val="20"/>
              </w:rPr>
              <w:t>2-3 per week</w:t>
            </w:r>
          </w:p>
        </w:tc>
        <w:tc>
          <w:tcPr>
            <w:tcW w:type="dxa" w:w="3120"/>
          </w:tcPr>
          <w:p>
            <w:r/>
            <w:r>
              <w:rPr>
                <w:rFonts w:ascii="Arial" w:hAnsi="Arial"/>
                <w:sz w:val="20"/>
              </w:rPr>
              <w:t>Personalized emails to PEFs and programme leads. Reference their specific ePAD system (OPAL for Bournemouth, PebblePad for many others, PARE for some). Follow up after 5 business days.</w:t>
            </w:r>
          </w:p>
        </w:tc>
      </w:tr>
    </w:tbl>
    <w:p>
      <w:r>
        <w:br w:type="page"/>
      </w:r>
    </w:p>
    <w:p>
      <w:pPr>
        <w:pStyle w:val="Heading1"/>
      </w:pPr>
      <w:r>
        <w:rPr>
          <w:color w:val="1A1A2E"/>
        </w:rPr>
        <w:t>Part 4: RCN Education Forum Follow-Up</w:t>
      </w:r>
    </w:p>
    <w:p>
      <w:pPr>
        <w:pStyle w:val="Heading2"/>
      </w:pPr>
      <w:r>
        <w:rPr>
          <w:color w:val="1A1A2E"/>
        </w:rPr>
        <w:t>Conference Details</w:t>
      </w:r>
    </w:p>
    <w:p>
      <w:pPr>
        <w:spacing w:after="160"/>
      </w:pPr>
      <w:r>
        <w:t>The RCN Education Forum Conference 2026 is confirmed for April 15, 2026. Booking is open. The event is described as their flagship education conference with direct access to nurse educators at all levels across the UK, in NHS, public, independent and voluntary sectors, universities and colleges.</w:t>
      </w:r>
    </w:p>
    <w:p>
      <w:pPr>
        <w:pStyle w:val="Heading2"/>
      </w:pPr>
      <w:r>
        <w:rPr>
          <w:color w:val="1A1A2E"/>
        </w:rPr>
        <w:t>Contact Information</w:t>
      </w:r>
    </w:p>
    <w:p>
      <w:pPr>
        <w:spacing w:after="160"/>
      </w:pPr>
      <w:r>
        <w:t>Exhibitor and sponsorship enquiries: Phone 020 7647 3959 (Mon-Fri, 9am-5pm UK) or email exhibitions@rcn.org.uk. Given that your initial email went unanswered, calling is the stronger move. Phone calls are harder to ignore and you get an immediate answer on exhibitor availability and pricing.</w:t>
      </w:r>
    </w:p>
    <w:p>
      <w:pPr>
        <w:pStyle w:val="Heading2"/>
      </w:pPr>
      <w:r>
        <w:rPr>
          <w:color w:val="1A1A2E"/>
        </w:rPr>
        <w:t>Recommended Approach</w:t>
      </w:r>
    </w:p>
    <w:p>
      <w:pPr>
        <w:spacing w:after="160"/>
      </w:pPr>
      <w:r>
        <w:t>Call 020 7647 3959 during UK business hours (remember UK is on GMT, so 9am-5pm GMT). Introduce yourself as the founder of WritingPAD, a feedback transformation tool for practice assessors, and say you're interested in exhibitor or sponsorship options for the April 15 Education Forum. Key questions to ask: (1) Are exhibitor spots still available and what are the pricing tiers? (2) Is there a startup or small vendor rate? (3) What does the exhibitor package include (booth size, power, WiFi, delegate list access)? (4) Is there a deadline for exhibitor registration? (5) Can you get a delegate list or attendee profile breakdown in advance?</w:t>
      </w:r>
    </w:p>
    <w:p>
      <w:pPr>
        <w:spacing w:after="160"/>
      </w:pPr>
      <w:r>
        <w:t>If exhibitor pricing is prohibitive (could be £1,500+), ask about attending as a standard delegate instead. You can still network, distribute business cards (or those pens on lanyards), and demo WritingPAD on your phone to anyone interested. The conversations matter more than the booth.</w:t>
      </w:r>
    </w:p>
    <w:p>
      <w:pPr>
        <w:pStyle w:val="Heading2"/>
      </w:pPr>
      <w:r>
        <w:rPr>
          <w:color w:val="1A1A2E"/>
        </w:rPr>
        <w:t>If You Attend Without a Booth</w:t>
      </w:r>
    </w:p>
    <w:p>
      <w:pPr>
        <w:spacing w:after="160"/>
      </w:pPr>
      <w:r>
        <w:t>Prepare a 30-second demo on your phone (voice input, transformation, output). Have writingpad.co.uk ready to show. Bring simple one-page handouts or cards. Target Practice Education Facilitators and Senior Lecturers in the room — they're the multipliers. Ask them: "What ePAD system do your students use?" and "What's the biggest pain point your assessors mention about PAD feedback?" These questions are market research that also opens the door to a product demo.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