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VilseckKI Synth-Factory</w:t>
      </w:r>
    </w:p>
    <w:p>
      <w:pPr>
        <w:spacing w:after="100"/>
        <w:jc w:val="center"/>
      </w:pPr>
      <w:r>
        <w:rPr>
          <w:rFonts w:ascii="Arial" w:cs="Arial" w:eastAsia="Arial" w:hAnsi="Arial"/>
          <w:color w:val="4A6D8C"/>
          <w:sz w:val="36"/>
          <w:szCs w:val="36"/>
        </w:rPr>
        <w:t xml:space="preserve">EDINET Securities Report Dataset</w:t>
      </w:r>
    </w:p>
    <w:p>
      <w:pPr>
        <w:spacing w:after="100"/>
        <w:jc w:val="center"/>
      </w:pPr>
      <w:r>
        <w:rPr>
          <w:rFonts w:ascii="Arial" w:cs="Arial" w:eastAsia="Arial" w:hAnsi="Arial"/>
          <w:color w:val="4A6D8C"/>
          <w:sz w:val="28"/>
          <w:szCs w:val="28"/>
        </w:rPr>
        <w:t xml:space="preserve">EDINET有価証券報告書 合成データセット</w:t>
      </w:r>
    </w:p>
    <w:p>
      <w:pPr>
        <w:spacing w:before="600"/>
      </w:pPr>
    </w:p>
    <w:p>
      <w:pPr>
        <w:jc w:val="center"/>
      </w:pPr>
      <w:r>
        <w:rPr>
          <w:color w:val="000000"/>
          <w:sz w:val="24"/>
          <w:szCs w:val="24"/>
        </w:rPr>
        <w:t xml:space="preserve">Product Documentation &amp; Technical Datasheet</w:t>
      </w:r>
    </w:p>
    <w:p>
      <w:pPr>
        <w:spacing w:after="40"/>
        <w:jc w:val="center"/>
      </w:pPr>
      <w:r>
        <w:rPr>
          <w:color w:val="000000"/>
          <w:sz w:val="22"/>
          <w:szCs w:val="22"/>
        </w:rPr>
        <w:t xml:space="preserve">製品ドキュメンテーションおよび技術データシート</w:t>
      </w:r>
    </w:p>
    <w:p>
      <w:pPr>
        <w:spacing w:before="1200"/>
      </w:pPr>
    </w:p>
    <w:p>
      <w:pPr>
        <w:jc w:val="center"/>
      </w:pPr>
      <w:r>
        <w:rPr>
          <w:b/>
          <w:bCs/>
          <w:color w:val="1B3A5C"/>
          <w:sz w:val="24"/>
          <w:szCs w:val="24"/>
        </w:rPr>
        <w:t xml:space="preserve">Misawa Data GK</w:t>
      </w:r>
    </w:p>
    <w:p>
      <w:pPr>
        <w:jc w:val="center"/>
      </w:pPr>
      <w:r>
        <w:rPr>
          <w:color w:val="4A6D8C"/>
          <w:sz w:val="22"/>
          <w:szCs w:val="22"/>
        </w:rPr>
        <w:t xml:space="preserve">合同会社ミサワデータ</w:t>
      </w:r>
    </w:p>
    <w:p>
      <w:pPr>
        <w:spacing w:before="200"/>
        <w:jc w:val="center"/>
      </w:pPr>
      <w:r>
        <w:rPr>
          <w:color w:val="4A6D8C"/>
          <w:sz w:val="20"/>
          <w:szCs w:val="20"/>
        </w:rPr>
        <w:t xml:space="preserve">March 2026 | v1.0</w:t>
      </w:r>
    </w:p>
    <w:p>
      <w:r>
        <w:br w:type="page"/>
      </w:r>
    </w:p>
    <w:p>
      <w:pPr>
        <w:sectPr>
          <w:pgSz w:w="12240" w:h="15840" w:orient="portrait"/>
          <w:pgMar w:top="1440" w:right="1440" w:bottom="1440" w:left="1440" w:header="708" w:footer="708" w:gutter="0"/>
          <w:pgNumType/>
          <w:docGrid w:linePitch="360"/>
        </w:sectPr>
      </w:pPr>
    </w:p>
    <w:p>
      <w:pPr>
        <w:pStyle w:val="Heading1"/>
      </w:pPr>
      <w:r>
        <w:t xml:space="preserve">1. What is EDINET?</w:t>
      </w:r>
    </w:p>
    <w:p>
      <w:pPr>
        <w:pStyle w:val="Heading2"/>
      </w:pPr>
      <w:r>
        <w:t xml:space="preserve">1.1 Overview</w:t>
      </w:r>
    </w:p>
    <w:p>
      <w:pPr>
        <w:spacing w:after="120" w:line="276"/>
      </w:pPr>
      <w:r>
        <w:t xml:space="preserve">EDINET (Electronic Disclosure for Investors' NETwork) is the Japanese Financial Services Agency's (FSA) mandatory electronic filing system for corporate disclosures. Every publicly listed company in Japan must submit financial reports through EDINET, making it the authoritative source for Japanese corporate financial documentation.</w:t>
      </w:r>
    </w:p>
    <w:p>
      <w:pPr>
        <w:pStyle w:val="Heading3"/>
      </w:pPr>
      <w:r>
        <w:t xml:space="preserve">EDINETとは / What is EDINET?</w:t>
      </w:r>
    </w:p>
    <w:p>
      <w:pPr>
        <w:spacing w:after="120" w:line="276"/>
      </w:pPr>
      <w:r>
        <w:t xml:space="preserve">EDINET（Electronic Disclosure for Investors' NETwork）は、金融庁が運営する法定開示書類の電子開示システムです。日本の全上場企業は、有価証券報告書をはじめとする財務報告書をEDINETを通じて提出する義務があります。</w:t>
      </w:r>
    </w:p>
    <w:p>
      <w:pPr>
        <w:pStyle w:val="Heading2"/>
      </w:pPr>
      <w:r>
        <w:t xml:space="preserve">1.2 The Securities Report (有価証券報告書)</w:t>
      </w:r>
    </w:p>
    <w:p>
      <w:pPr>
        <w:spacing w:after="120" w:line="276"/>
      </w:pPr>
      <w:r>
        <w:t xml:space="preserve">The 有価証券報告書 (Yūka Shōken Hōkokusho, or 'Yuho') is the annual securities report that all publicly traded Japanese companies must file with the FSA. It is the Japanese equivalent of the SEC's 10-K filing in the United States. These are substantial documents, typically 50 to over 100 pages, following a mandated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English Name</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Japanese Name</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Overview</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企業の概況</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2</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Status &amp; Strategy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事業の状況</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Risk Factors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事業等のリスク</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4</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MD&amp;A (Management Discussion &amp; Analysis)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経営者による財政状態の分析</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5</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Governance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コーポレート・ガバナンスの状況等</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6</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Information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株式等の状況</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7</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of Directors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役員の状況</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8</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Statements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経理の状況</w:t>
            </w:r>
          </w:p>
        </w:tc>
      </w:tr>
    </w:tbl>
    <w:p>
      <w:pPr>
        <w:spacing w:after="200"/>
      </w:pPr>
    </w:p>
    <w:p>
      <w:pPr>
        <w:pStyle w:val="Heading2"/>
      </w:pPr>
      <w:r>
        <w:t xml:space="preserve">1.3 The EDINET API</w:t>
      </w:r>
    </w:p>
    <w:p>
      <w:pPr>
        <w:spacing w:after="120" w:line="276"/>
      </w:pPr>
      <w:r>
        <w:t xml:space="preserve">The FSA provides a free API (EDINET API v2) for programmatic access to all public filings. Documents are downloaded as ZIP archives containing iXBRL/HTML and XBRL files. Our scraper processes these into structured text segments that feed the generation pipeline.</w:t>
      </w:r>
    </w:p>
    <w:p>
      <w:pPr>
        <w:spacing w:after="120" w:line="276"/>
      </w:pPr>
      <w:r>
        <w:t xml:space="preserve">EDINET APIは金融庁が提供する無料のAPIで、全ての公開書類にプログラムでアクセスできます。当社のスクレイピングシステムは、これらのファイルを構造化テキストセグメントに変換し、生成パイプラインに供給します。</w:t>
      </w:r>
    </w:p>
    <w:p>
      <w:r>
        <w:br w:type="page"/>
      </w:r>
    </w:p>
    <w:p>
      <w:pPr>
        <w:pStyle w:val="Heading1"/>
      </w:pPr>
      <w:r>
        <w:t xml:space="preserve">2. How the Dataset is Generated</w:t>
      </w:r>
    </w:p>
    <w:p>
      <w:pPr>
        <w:pStyle w:val="Heading3"/>
      </w:pPr>
      <w:r>
        <w:t xml:space="preserve">データセットの生成方法 / Generation Method</w:t>
      </w:r>
    </w:p>
    <w:p>
      <w:pPr>
        <w:pStyle w:val="Heading2"/>
      </w:pPr>
      <w:r>
        <w:t xml:space="preserve">2.1 Three-Phase Pipeline</w:t>
      </w:r>
    </w:p>
    <w:p>
      <w:pPr>
        <w:spacing w:after="120" w:line="276"/>
      </w:pPr>
      <w:r>
        <w:t xml:space="preserve">The dataset is produced by a fully automated three-phase pipeline that runs on dedicated local hardware (no cloud processing, no external APIs beyond EDINET itself):</w:t>
      </w:r>
    </w:p>
    <w:p>
      <w:pPr>
        <w:spacing w:after="120" w:line="276"/>
      </w:pPr>
      <w:r>
        <w:rPr>
          <w:b/>
          <w:bCs/>
        </w:rPr>
        <w:t xml:space="preserve">Phase 1: Scrape. </w:t>
      </w:r>
      <w:r>
        <w:t xml:space="preserve">The system queries the EDINET API for recent 有価証券報告書 filings, downloads the ZIP archives, and parses the HTML/iXBRL/XBRL contents into structured text segments aligned to the 8-section report structure.</w:t>
      </w:r>
    </w:p>
    <w:p>
      <w:pPr>
        <w:spacing w:after="120" w:line="276"/>
      </w:pPr>
      <w:r>
        <w:rPr>
          <w:b/>
          <w:bCs/>
        </w:rPr>
        <w:t xml:space="preserve">フェーズ1：スクレイピング。</w:t>
      </w:r>
      <w:r>
        <w:t xml:space="preserve">EDINET APIを用いて最新の有価証券報告書を取得し、ZIPアーカイブをダウンロード・解析し、8セクションの構造化テキストに変換します。</w:t>
      </w:r>
    </w:p>
    <w:p>
      <w:pPr>
        <w:spacing w:after="120" w:line="276"/>
      </w:pPr>
      <w:r>
        <w:rPr>
          <w:b/>
          <w:bCs/>
        </w:rPr>
        <w:t xml:space="preserve">Phase 2: Learn Flaw Patterns. </w:t>
      </w:r>
      <w:r>
        <w:t xml:space="preserve">A flaw taxonomy extractor analyzes the scraped documents to identify real-world patterns of errors, omissions, and structural issues. It catalogs 6 categories of flaws (structural, numerical, disclosure, formatting, regulatory, temporal) with their observed frequencies. This taxonomy is saved as flaw_taxonomy.json.</w:t>
      </w:r>
    </w:p>
    <w:p>
      <w:pPr>
        <w:spacing w:after="120" w:line="276"/>
      </w:pPr>
      <w:r>
        <w:rPr>
          <w:b/>
          <w:bCs/>
        </w:rPr>
        <w:t xml:space="preserve">フェーズ2：欠陥パターンの学習。</w:t>
      </w:r>
      <w:r>
        <w:t xml:space="preserve">欠陥分類器がスクレイピングした書類を分析し、実際のエラー・脱落・構造的問題のパターンを特定します。6カテゴリの欠陥（構造、数値、開示、フォーマット、規制、時間）を観測頻度とともにカタログ化します。</w:t>
      </w:r>
    </w:p>
    <w:p>
      <w:pPr>
        <w:spacing w:after="120" w:line="276"/>
      </w:pPr>
      <w:r>
        <w:rPr>
          <w:b/>
          <w:bCs/>
        </w:rPr>
        <w:t xml:space="preserve">Phase 3: Generate. </w:t>
      </w:r>
      <w:r>
        <w:t xml:space="preserve">A locally-hosted 70-billion-parameter large language model generates each document section by section, threading context from earlier sections into later ones for cross-reference coherence. The flaw taxonomy drives error injection: instead of random noise, the system injects the exact types and frequencies of errors observed in real filings.</w:t>
      </w:r>
    </w:p>
    <w:p>
      <w:pPr>
        <w:spacing w:after="120" w:line="276"/>
      </w:pPr>
      <w:r>
        <w:rPr>
          <w:b/>
          <w:bCs/>
        </w:rPr>
        <w:t xml:space="preserve">フェーズ3：生成。</w:t>
      </w:r>
      <w:r>
        <w:t xml:space="preserve">ローカルにホストされた700億パラメータのLLMが、各ドキュメントをセクションごとに生成し、前のセクションのコンテキストを後のセクションに反映させます。欠陥分類がエラー注入を駆動し、実際の提出書類で観測されるとおりの種類と頻度のエラーを注入します。</w:t>
      </w:r>
    </w:p>
    <w:p>
      <w:r>
        <w:br w:type="page"/>
      </w:r>
    </w:p>
    <w:p>
      <w:pPr>
        <w:pStyle w:val="Heading1"/>
      </w:pPr>
      <w:r>
        <w:t xml:space="preserve">3. Quality Tiers</w:t>
      </w:r>
    </w:p>
    <w:p>
      <w:pPr>
        <w:pStyle w:val="Heading3"/>
      </w:pPr>
      <w:r>
        <w:t xml:space="preserve">品質ティア / Quality Tiers</w:t>
      </w:r>
    </w:p>
    <w:p>
      <w:pPr>
        <w:spacing w:after="120" w:line="276"/>
      </w:pPr>
      <w:r>
        <w:t xml:space="preserve">Datasets are available in four quality tiers, each with a different error injection rate. The error types and distributions are driven by the flaw taxonomy extracted from real EDINET filings, not by random noise.</w:t>
      </w:r>
    </w:p>
    <w:p>
      <w:pPr>
        <w:spacing w:after="120" w:line="276"/>
      </w:pPr>
      <w:r>
        <w:t xml:space="preserve">データセットは4つの品質ティアで提供され、それぞれ異なるエラー注入率を持ちます。エラーの種類と分布は、実際のEDINET提出書類から抽出した欠陥分類に基づいています。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980"/>
        <w:gridCol w:w="29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 Rate</w:t>
            </w:r>
          </w:p>
        </w:tc>
        <w:tc>
          <w:tcPr>
            <w:tcW w:type="dxa" w:w="2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説明</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Perfect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Pristine documentation. Zero injected flaws. Ideal for training models on correct structure.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完璧な文書。欠陥注入なし。正しい構造の学習に最適。</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Near Perfect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Occasional minor issues. Realistic for high-quality filings that still contain subtle imperfections.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時折の軽微な問題。微妙な不完全さを含む高品質な提出書類を再現。</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Moderate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Noticeable noise. Tests model robustness against common filing imperfections.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目立つノイズ。一般的な提出不備に対するモデルの堅牢性をテスト。</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Severe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error load. Simulates filings with serious compliance issues for adversarial testing.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重大なエラー負荷。深刻なコンプライアンス問題を持つ提出書類をシミュレート。</w:t>
            </w:r>
          </w:p>
        </w:tc>
      </w:tr>
    </w:tbl>
    <w:p>
      <w:pPr>
        <w:spacing w:after="200"/>
      </w:pPr>
    </w:p>
    <w:p>
      <w:pPr>
        <w:pStyle w:val="Heading2"/>
      </w:pPr>
      <w:r>
        <w:t xml:space="preserve">3.1 Mixed Distribution Datasets</w:t>
      </w:r>
    </w:p>
    <w:p>
      <w:pPr>
        <w:spacing w:after="120" w:line="276"/>
      </w:pPr>
      <w:r>
        <w:t xml:space="preserve">A single dataset can also contain a mix of quality tiers, shuffled randomly throughout. The default distribution is 80% perfect, 10% near-perfect, 8% moderate, and 2% severe — closely mimicking the distribution of quality levels observed in real-world EDINET filings. Custom distributions are configurable.</w:t>
      </w:r>
    </w:p>
    <w:p>
      <w:pPr>
        <w:spacing w:after="120" w:line="276"/>
      </w:pPr>
      <w:r>
        <w:t xml:space="preserve">単一のデータセットに複数の品質ティアをランダムに混合することも可能です。デフォルトの分布は80%完璧、10%近完璧、8%中程度、2%重大で、実際のEDINET提出書類の品質分布を近似しています。</w:t>
      </w:r>
    </w:p>
    <w:p>
      <w:r>
        <w:br w:type="page"/>
      </w:r>
    </w:p>
    <w:p>
      <w:pPr>
        <w:pStyle w:val="Heading1"/>
      </w:pPr>
      <w:r>
        <w:t xml:space="preserve">4. Flaw Taxonomy</w:t>
      </w:r>
    </w:p>
    <w:p>
      <w:pPr>
        <w:pStyle w:val="Heading3"/>
      </w:pPr>
      <w:r>
        <w:t xml:space="preserve">欠陥分類体系 / Flaw Taxonomy</w:t>
      </w:r>
    </w:p>
    <w:p>
      <w:pPr>
        <w:spacing w:after="120" w:line="276"/>
      </w:pPr>
      <w:r>
        <w:t xml:space="preserve">Rather than injecting random noise, our system learns the exact types and frequencies of errors that appear in real filings. The flaw taxonomy is automatically built from scraped documents and contains six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Detects</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検出内容</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Structural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sections, empty sections, unusually short content, stale cross-references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欠落セクション、空セクション、異常に短いコンテンツ、古い相互参照</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Numerical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figures, inconsistent numbers, negative indicator issues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重複数値、不整合な数値、負の指標の問題</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Disclosure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Generic/vague language, boilerplate risk factors, negative assurance statements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曖昧な言葉、定型的リスク要因、消極的保証文</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Formatting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Garbled symbols, control characters, mojibake (encoding errors)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文字化け、制御文字、モジバケ（エンコーディングエラー）</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Regulatory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sustainability/ESG disclosures, human capital reporting gaps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サステナビリティ/ESG開示の欠落、人的資本報告のギャップ</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Temporal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date references, outdated comparison periods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古い日付参照、古い比較期間</w:t>
            </w:r>
          </w:p>
        </w:tc>
      </w:tr>
    </w:tbl>
    <w:p>
      <w:pPr>
        <w:spacing w:after="200"/>
      </w:pPr>
    </w:p>
    <w:p>
      <w:pPr>
        <w:spacing w:after="120" w:line="276"/>
      </w:pPr>
      <w:r>
        <w:t xml:space="preserve">Each flaw type is injected at its observed real-world frequency. For example, if 20% of real filings contain empty-section markers (該当事項はありません) and 6% contain stale date references, the synthetic errors mirror that distribution.</w:t>
      </w:r>
    </w:p>
    <w:p>
      <w:r>
        <w:br w:type="page"/>
      </w:r>
    </w:p>
    <w:p>
      <w:pPr>
        <w:pStyle w:val="Heading1"/>
      </w:pPr>
      <w:r>
        <w:t xml:space="preserve">5. Technical Specifications</w:t>
      </w:r>
    </w:p>
    <w:p>
      <w:pPr>
        <w:pStyle w:val="Heading3"/>
      </w:pPr>
      <w:r>
        <w:t xml:space="preserve">技術仕様 /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Generation Model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3.1 70B Instruct (Q4_K_M quantization)</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Generation Hardware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Beelink GTR9 Pro (dedicated local server, no cloud)</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LLM Framework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(local inference)</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Data Source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EDINET API v2 (Japan FSA official system)</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有価証券報告書 (Type 120 — Annual Securities Report)</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Language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Japanese (日本語)</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Output Format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JSONL (one document per line, with per-segment fields)</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Segments per Document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structured sections with context threading</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Context Threading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Later sections reference earlier ones for numerical/factual coherence</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Error Injection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Taxonomy-driven (real-world flaw frequencies), not random noise</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License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CC-BY-4.0</w:t>
            </w:r>
          </w:p>
        </w:tc>
      </w:tr>
      <w:tr>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Cloud Processing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All generation runs on local hardware.</w:t>
            </w:r>
          </w:p>
        </w:tc>
      </w:tr>
    </w:tbl>
    <w:p>
      <w:pPr>
        <w:spacing w:after="200"/>
      </w:pPr>
    </w:p>
    <w:p>
      <w:r>
        <w:br w:type="page"/>
      </w:r>
    </w:p>
    <w:p>
      <w:pPr>
        <w:pStyle w:val="Heading1"/>
      </w:pPr>
      <w:r>
        <w:t xml:space="preserve">6. Intended Use Cases</w:t>
      </w:r>
    </w:p>
    <w:p>
      <w:pPr>
        <w:pStyle w:val="Heading3"/>
      </w:pPr>
      <w:r>
        <w:t xml:space="preserve">想定される利用用途 / Intended Use Cases</w:t>
      </w:r>
    </w:p>
    <w:p>
      <w:pPr>
        <w:spacing w:after="120" w:line="276"/>
      </w:pPr>
      <w:r>
        <w:rPr>
          <w:b/>
          <w:bCs/>
        </w:rPr>
        <w:t xml:space="preserve">ML/AI Training: </w:t>
      </w:r>
      <w:r>
        <w:t xml:space="preserve">Train document understanding models on Japanese financial text. The tiered quality levels allow training on both clean and noisy data for robust model development.</w:t>
      </w:r>
    </w:p>
    <w:p>
      <w:pPr>
        <w:spacing w:after="120" w:line="276"/>
      </w:pPr>
      <w:r>
        <w:rPr>
          <w:b/>
          <w:bCs/>
        </w:rPr>
        <w:t xml:space="preserve">ML/AIトレーニング：</w:t>
      </w:r>
      <w:r>
        <w:t xml:space="preserve">日本の金融テキストにおける文書理解モデルのトレーニング。階層化された品質レベルにより、堅牢なモデル開発が可能です。</w:t>
      </w:r>
    </w:p>
    <w:p>
      <w:pPr>
        <w:spacing w:after="120" w:line="276"/>
      </w:pPr>
      <w:r>
        <w:rPr>
          <w:b/>
          <w:bCs/>
        </w:rPr>
        <w:t xml:space="preserve">RegTech/Compliance Testing: </w:t>
      </w:r>
      <w:r>
        <w:t xml:space="preserve">Test document validation systems against realistic filing errors. The flaw taxonomy ensures test data mirrors actual compliance issues encountered by the FSA.</w:t>
      </w:r>
    </w:p>
    <w:p>
      <w:pPr>
        <w:spacing w:after="120" w:line="276"/>
      </w:pPr>
      <w:r>
        <w:rPr>
          <w:b/>
          <w:bCs/>
        </w:rPr>
        <w:t xml:space="preserve">RegTech/コンプライアンステスト：</w:t>
      </w:r>
      <w:r>
        <w:t xml:space="preserve">現実的な提出エラーに対する文書検証システムのテスト。欠陥分類により、テストデータが実際のコンプライアンス問題を反映します。</w:t>
      </w:r>
    </w:p>
    <w:p>
      <w:pPr>
        <w:spacing w:after="120" w:line="276"/>
      </w:pPr>
      <w:r>
        <w:rPr>
          <w:b/>
          <w:bCs/>
        </w:rPr>
        <w:t xml:space="preserve">NLP Benchmarks: </w:t>
      </w:r>
      <w:r>
        <w:t xml:space="preserve">Create benchmark datasets for Japanese financial text extraction, similar to SakanaAI's EDINET-Bench. Each quality tier serves as a different difficulty level.</w:t>
      </w:r>
    </w:p>
    <w:p>
      <w:pPr>
        <w:spacing w:after="120" w:line="276"/>
      </w:pPr>
      <w:r>
        <w:rPr>
          <w:b/>
          <w:bCs/>
        </w:rPr>
        <w:t xml:space="preserve">NLPベンチマーク：</w:t>
      </w:r>
      <w:r>
        <w:t xml:space="preserve">SakanaAIのEDINET-Benchと同様の、日本の金融テキスト抽出のベンチマークデータセット作成。各品質ティアが異なる難易度レベルとして機能します。</w:t>
      </w:r>
    </w:p>
    <w:p>
      <w:pPr>
        <w:spacing w:after="120" w:line="276"/>
      </w:pPr>
      <w:r>
        <w:rPr>
          <w:b/>
          <w:bCs/>
        </w:rPr>
        <w:t xml:space="preserve">Document Processing Pipelines: </w:t>
      </w:r>
      <w:r>
        <w:t xml:space="preserve">Test and validate PDF extraction, OCR, and document parsing pipelines against realistic Japanese financial documents without using confidential real company data.</w:t>
      </w:r>
    </w:p>
    <w:p>
      <w:pPr>
        <w:spacing w:after="120" w:line="276"/>
      </w:pPr>
      <w:r>
        <w:rPr>
          <w:b/>
          <w:bCs/>
        </w:rPr>
        <w:t xml:space="preserve">文書処理パイプライン：</w:t>
      </w:r>
      <w:r>
        <w:t xml:space="preserve">機密な実企業データを使用せずに、PDF抽出、OCR、文書解析パイプラインのテストと検証。</w:t>
      </w:r>
    </w:p>
    <w:p>
      <w:r>
        <w:br w:type="page"/>
      </w:r>
    </w:p>
    <w:p>
      <w:pPr>
        <w:pStyle w:val="Heading1"/>
      </w:pPr>
      <w:r>
        <w:t xml:space="preserve">7. Out-of-Scope Uses</w:t>
      </w:r>
    </w:p>
    <w:p>
      <w:pPr>
        <w:pStyle w:val="Heading3"/>
      </w:pPr>
      <w:r>
        <w:t xml:space="preserve">禁止事項 / Prohibited Uses</w:t>
      </w:r>
    </w:p>
    <w:p>
      <w:pPr>
        <w:spacing w:after="120" w:line="276"/>
      </w:pPr>
      <w:r>
        <w:t xml:space="preserve">This dataset contains entirely synthetic data generated by an AI model. It must NOT be:</w:t>
      </w:r>
    </w:p>
    <w:p>
      <w:pPr>
        <w:pStyle w:val="ListParagraph"/>
        <w:numPr>
          <w:ilvl w:val="0"/>
          <w:numId w:val="2"/>
        </w:numPr>
      </w:pPr>
      <w:r>
        <w:t xml:space="preserve">Used as actual financial filings or submitted to any regulatory authority</w:t>
      </w:r>
    </w:p>
    <w:p>
      <w:pPr>
        <w:pStyle w:val="ListParagraph"/>
        <w:numPr>
          <w:ilvl w:val="0"/>
          <w:numId w:val="2"/>
        </w:numPr>
      </w:pPr>
      <w:r>
        <w:t xml:space="preserve">Represented as real company disclosures or financial data</w:t>
      </w:r>
    </w:p>
    <w:p>
      <w:pPr>
        <w:pStyle w:val="ListParagraph"/>
        <w:numPr>
          <w:ilvl w:val="0"/>
          <w:numId w:val="2"/>
        </w:numPr>
      </w:pPr>
      <w:r>
        <w:t xml:space="preserve">Used for investment decision-making or financial advice</w:t>
      </w:r>
    </w:p>
    <w:p>
      <w:pPr>
        <w:pStyle w:val="ListParagraph"/>
        <w:numPr>
          <w:ilvl w:val="0"/>
          <w:numId w:val="2"/>
        </w:numPr>
      </w:pPr>
      <w:r>
        <w:t xml:space="preserve">Attributed to any real company, person, or government entity</w:t>
      </w:r>
    </w:p>
    <w:p>
      <w:pPr>
        <w:spacing w:after="200"/>
      </w:pPr>
    </w:p>
    <w:p>
      <w:pPr>
        <w:spacing w:after="120" w:line="276"/>
      </w:pPr>
      <w:r>
        <w:t xml:space="preserve">このデータセットは、AIモデルによって生成された完全な合成データです。実際の財務報告書として使用したり、規制当局に提出したり、実在の企業の開示として表示したり、投資判断に使用したりすることは禁じられています。</w:t>
      </w:r>
    </w:p>
    <w:p>
      <w:pPr>
        <w:spacing w:before="600"/>
      </w:pPr>
    </w:p>
    <w:p>
      <w:pPr>
        <w:pStyle w:val="Heading2"/>
      </w:pPr>
      <w:r>
        <w:t xml:space="preserve">Contact / お問い合わせ</w:t>
      </w:r>
    </w:p>
    <w:p>
      <w:pPr>
        <w:spacing w:after="120" w:line="276"/>
      </w:pPr>
      <w:r>
        <w:rPr>
          <w:b/>
          <w:bCs/>
        </w:rPr>
        <w:t xml:space="preserve">Misawa Data GK</w:t>
      </w:r>
      <w:r>
        <w:t xml:space="preserve"> (合同会社ミサワデータ)</w:t>
      </w:r>
    </w:p>
    <w:p>
      <w:pPr>
        <w:spacing w:after="120" w:line="276"/>
      </w:pPr>
      <w:r>
        <w:t xml:space="preserve">Email: workflow.tools@icloud.com</w:t>
      </w:r>
    </w:p>
    <w:p>
      <w:pPr>
        <w:spacing w:after="120" w:line="276"/>
      </w:pPr>
      <w:r>
        <w:t xml:space="preserve">Custom dataset configurations, bulk licensing, and enterprise tiers available on request.</w:t>
      </w:r>
    </w:p>
    <w:p>
      <w:pPr>
        <w:spacing w:after="120" w:line="276"/>
      </w:pPr>
      <w:r>
        <w:t xml:space="preserve">カスタムデータセット構成、一括ライセンス、エンタープライズティアはお問い合わせください。</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D8C"/>
        <w:sz w:val="16"/>
        <w:szCs w:val="16"/>
      </w:rPr>
      <w:t xml:space="preserve">Misawa Data GK | </w:t>
    </w:r>
    <w:r>
      <w:rPr>
        <w:color w:val="4A6D8C"/>
        <w:sz w:val="16"/>
        <w:szCs w:val="16"/>
      </w:rPr>
      <w:t xml:space="preserve">Page </w:t>
    </w:r>
    <w:r>
      <w:rPr>
        <w:color w:val="4A6D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6D8C"/>
        <w:sz w:val="16"/>
        <w:szCs w:val="16"/>
      </w:rPr>
      <w:t xml:space="preserve">VilseckKI Synth-Factory | EDINET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A6D8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6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2026-03-15T11:24:43.747Z</dcterms:created>
  <dcterms:modified xsi:type="dcterms:W3CDTF">2026-03-15T11:24:43.749Z</dcterms:modified>
</cp:coreProperties>
</file>

<file path=docProps/custom.xml><?xml version="1.0" encoding="utf-8"?>
<Properties xmlns="http://schemas.openxmlformats.org/officeDocument/2006/custom-properties" xmlns:vt="http://schemas.openxmlformats.org/officeDocument/2006/docPropsVTypes"/>
</file>