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6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6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60"/>
        <w:jc w:val="both"/>
      </w:pPr>
      <w:r>
        <w:t xml:space="preserve">(Каліфорнія, частини ЄС) такі обмеження можуть бути неenforceable. - "Independently requests" — створює прозорість, але фактично це важко відстежити. На практиці працює як moral obligation. - Якщо субпідрядник сам бажає перейти до нас у штат — це не 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2026-04-09T21:14:05.275Z</dcterms:created>
  <dcterms:modified xsi:type="dcterms:W3CDTF">2026-04-09T21:14:05.275Z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