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6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spacing w:after="160" w:before="28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60"/>
        <w:jc w:val="both"/>
      </w:pPr>
      <w:r>
        <w:t xml:space="preserve">до переговорів або завершують договір на поточній ставці. - У client-facing Services Agreement cap часто вищий — до 12%. У субпідрядних — 10%. Це свідома differenceс, яка захищає маржу. - Якщо ставка регулярно переглядається "по маркету" без цього cap-у — 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2026-04-09T21:14:05.267Z</dcterms:created>
  <dcterms:modified xsi:type="dcterms:W3CDTF">2026-04-09T21:14:05.267Z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