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Olga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80"/>
        <w:jc w:val="both"/>
      </w:pPr>
      <w:r>
        <w:t xml:space="preserve">і пішов напряму".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Обмеження стосується ТІЛЬКИ клієнтів, про яких субпідрядник</w:t>
      </w:r>
    </w:p>
    <w:p>
      <w:pPr>
        <w:spacing w:after="180"/>
        <w:jc w:val="both"/>
      </w:pPr>
      <w:r>
        <w:t xml:space="preserve">дізнався в ході виконання нашого договору. Інші його клієнти — не наша справа.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Разом із Non-solicitation створює повний periметр захисту</w:t>
      </w:r>
    </w:p>
    <w:p>
      <w:pPr>
        <w:spacing w:after="180"/>
        <w:jc w:val="both"/>
      </w:pPr>
      <w:r>
        <w:t xml:space="preserve">комерційних відносин.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 ЄС і США такі обмеження мають бути **розумними за терміном</w:t>
      </w:r>
    </w:p>
    <w:p>
      <w:pPr>
        <w:spacing w:after="180"/>
        <w:jc w:val="both"/>
      </w:pPr>
      <w:r>
        <w:t xml:space="preserve">та географією**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2026-04-09T22:19:30.082Z</dcterms:created>
  <dcterms:modified xsi:type="dcterms:W3CDTF">2026-04-09T22:19:30.082Z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