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0"/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Договір субпідряду — Developer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між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Sloboda Software GMBH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та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Субпідрядник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8A8578"/>
          <w:sz w:val="18"/>
          <w:szCs w:val="18"/>
        </w:rPr>
        <w:t xml:space="preserve">Drafters</w:t>
      </w:r>
    </w:p>
    <w:p>
      <w:r>
        <w:r>
          <w:br w:type="page"/>
        </w:r>
      </w:r>
    </w:p>
    <w:p>
      <w:pPr>
        <w:pStyle w:val="Heading1"/>
        <w:keepNext/>
        <w:spacing w:after="180" w:before="360"/>
      </w:pPr>
      <w:r>
        <w:t xml:space="preserve">Договір субпідряду</w:t>
      </w:r>
    </w:p>
    <w:p>
      <w:pPr>
        <w:spacing w:after="180"/>
        <w:jc w:val="both"/>
      </w:pPr>
      <w:r>
        <w:rPr>
          <w:b/>
          <w:bCs/>
        </w:rPr>
        <w:t xml:space="preserve">Дата укладення:</w:t>
      </w:r>
      <w:r>
        <w:t xml:space="preserve"> ___________</w:t>
      </w:r>
    </w:p>
    <w:p>
      <w:pPr>
        <w:spacing w:after="180"/>
        <w:jc w:val="both"/>
      </w:pPr>
      <w:r>
        <w:rPr>
          <w:b/>
          <w:bCs/>
        </w:rPr>
        <w:t xml:space="preserve">Контрактор:</w:t>
      </w:r>
      <w:r>
        <w:t xml:space="preserve"> </w:t>
      </w:r>
      <w:r>
        <w:rPr>
          <w:b/>
          <w:bCs/>
        </w:rPr>
        <w:t xml:space="preserve">Sloboda Software GMBH</w:t>
      </w:r>
      <w:r>
        <w:t xml:space="preserve">, юридична особа, зареєстрована відповідно до законодавства Федеративної Республіки Німеччина, Registry code </w:t>
      </w:r>
      <w:r>
        <w:rPr>
          <w:b/>
          <w:bCs/>
        </w:rPr>
        <w:t xml:space="preserve">HRB260696B</w:t>
      </w:r>
      <w:r>
        <w:t xml:space="preserve">, VAT ID </w:t>
      </w:r>
      <w:r>
        <w:rPr>
          <w:b/>
          <w:bCs/>
        </w:rPr>
        <w:t xml:space="preserve">DE366220301</w:t>
      </w:r>
      <w:r>
        <w:t xml:space="preserve">, з юридичною адресою: Am Märchenbrunnen 7, Berlin, 10407, Germany, в особі Директора Olga Iakubovska, що діє на підставі Статуту (надалі — "</w:t>
      </w:r>
      <w:r>
        <w:rPr>
          <w:b/>
          <w:bCs/>
        </w:rPr>
        <w:t xml:space="preserve">Контрактор</w:t>
      </w:r>
      <w:r>
        <w:t xml:space="preserve">").</w:t>
      </w:r>
    </w:p>
    <w:p>
      <w:pPr>
        <w:spacing w:after="180"/>
        <w:jc w:val="both"/>
      </w:pPr>
      <w:r>
        <w:rPr>
          <w:b/>
          <w:bCs/>
        </w:rPr>
        <w:t xml:space="preserve">Субпідрядник:</w:t>
      </w:r>
      <w:r>
        <w:t xml:space="preserve"> __________</w:t>
      </w:r>
      <w:r>
        <w:rPr>
          <w:i/>
          <w:iCs/>
        </w:rPr>
        <w:t xml:space="preserve">, фізична особа-підприємець (ФОП), з адресою: </w:t>
      </w:r>
      <w:r>
        <w:t xml:space="preserve">_________</w:t>
      </w:r>
      <w:r>
        <w:rPr>
          <w:i/>
          <w:iCs/>
        </w:rPr>
        <w:t xml:space="preserve">, реєстраційний номер </w:t>
      </w:r>
      <w:r>
        <w:t xml:space="preserve">__________ (надалі — "</w:t>
      </w:r>
      <w:r>
        <w:rPr>
          <w:b/>
          <w:bCs/>
        </w:rPr>
        <w:t xml:space="preserve">Субпідрядник</w:t>
      </w:r>
      <w:r>
        <w:t xml:space="preserve">").</w:t>
      </w:r>
    </w:p>
    <w:p>
      <w:pPr>
        <w:spacing w:after="180"/>
        <w:jc w:val="both"/>
      </w:pPr>
      <w:r>
        <w:t xml:space="preserve">Контрактор і Субпідрядник разом надалі — "</w:t>
      </w:r>
      <w:r>
        <w:rPr>
          <w:b/>
          <w:bCs/>
        </w:rPr>
        <w:t xml:space="preserve">Сторони</w:t>
      </w:r>
      <w:r>
        <w:t xml:space="preserve">", а кожен окремо — "</w:t>
      </w:r>
      <w:r>
        <w:rPr>
          <w:b/>
          <w:bCs/>
        </w:rPr>
        <w:t xml:space="preserve">Сторона</w:t>
      </w:r>
      <w:r>
        <w:t xml:space="preserve">".</w:t>
      </w:r>
    </w:p>
    <w:p>
      <w:pPr>
        <w:pStyle w:val="Heading2"/>
        <w:keepNext/>
        <w:spacing w:after="180" w:before="360"/>
      </w:pPr>
      <w:r>
        <w:t xml:space="preserve">1. Key terms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Субпідрядні послуги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consulting and development (надалі — "</w:t>
            </w:r>
            <w:r>
              <w:rPr>
                <w:b/>
                <w:bCs/>
                <w:sz w:val="20"/>
                <w:szCs w:val="20"/>
              </w:rPr>
              <w:t xml:space="preserve">Послуги</w:t>
            </w:r>
            <w:r>
              <w:rPr>
                <w:b w:val="false"/>
                <w:bCs w:val="false"/>
                <w:sz w:val="20"/>
                <w:szCs w:val="20"/>
              </w:rPr>
              <w:t xml:space="preserve">")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Порядок оплати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Post-payment згідно з time-sheet, наданим Субпідрядником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Інвойсинг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Щомісячно. Контрактор зобов'язується сплатити протягом </w:t>
            </w:r>
            <w:r>
              <w:rPr>
                <w:b/>
                <w:bCs/>
                <w:sz w:val="20"/>
                <w:szCs w:val="20"/>
              </w:rPr>
              <w:t xml:space="preserve">21 календарного дня</w:t>
            </w:r>
            <w:r>
              <w:rPr>
                <w:b w:val="false"/>
                <w:bCs w:val="false"/>
                <w:sz w:val="20"/>
                <w:szCs w:val="20"/>
              </w:rPr>
              <w:t xml:space="preserve"> з дати інвойсу.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Банківські перекази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банківський рахунок, зазначений в інвойсі. Кожна сторона покриває банківські комісії свого банку та його посередників.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Овертайм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Тільки з письмового погодження Контрактора.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Перегляд ставки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частіше ніж раз на 12 місяців. Не більше </w:t>
            </w:r>
            <w:r>
              <w:rPr>
                <w:b/>
                <w:bCs/>
                <w:sz w:val="20"/>
                <w:szCs w:val="20"/>
              </w:rPr>
              <w:t xml:space="preserve">10%</w:t>
            </w:r>
            <w:r>
              <w:rPr>
                <w:b w:val="false"/>
                <w:bCs w:val="false"/>
                <w:sz w:val="20"/>
                <w:szCs w:val="20"/>
              </w:rPr>
              <w:t xml:space="preserve"> річних.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2. Платежі за послуги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Контрактор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Контрактором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3. Non-solicitation</w:t>
      </w:r>
    </w:p>
    <w:p>
      <w:pPr>
        <w:spacing w:after="180"/>
        <w:jc w:val="both"/>
      </w:pPr>
      <w:r>
        <w:rPr>
          <w:b/>
          <w:bCs/>
        </w:rPr>
        <w:t xml:space="preserve">Період заборони переманювання.</w:t>
      </w:r>
      <w:r>
        <w:t xml:space="preserve"> 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сторони зобов'язуються не пропонувати роботу, не наймати та не заохочувати до звільнення будь-яку особу, яка є працівником, підрядником або субпідрядником іншої сторони.</w:t>
      </w:r>
    </w:p>
    <w:p>
      <w:pPr>
        <w:spacing w:after="180"/>
        <w:jc w:val="both"/>
      </w:pPr>
      <w:r>
        <w:rPr>
          <w:b/>
          <w:bCs/>
        </w:rPr>
        <w:t xml:space="preserve">Зворотні запити.</w:t>
      </w:r>
      <w:r>
        <w:t xml:space="preserve"> Якщо працівник, підрядник чи субпідрядник однієї сторони </w:t>
      </w:r>
      <w:r>
        <w:rPr>
          <w:b/>
          <w:bCs/>
        </w:rPr>
        <w:t xml:space="preserve">самостійно</w:t>
      </w:r>
      <w:r>
        <w:t xml:space="preserve"> звернувся до іншої сторони з запитом про роботу — сторона, яка отримала запит, зобов'язана негайно призупинити розгляд і повідомити іншу сторону.</w:t>
      </w:r>
    </w:p>
    <w:p>
      <w:pPr>
        <w:pStyle w:val="Heading2"/>
        <w:keepNext/>
        <w:spacing w:after="180" w:before="360"/>
      </w:pPr>
      <w:r>
        <w:t xml:space="preserve">4. Non-compete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Non-compete у Каліфорнії та частинах ЄС може бути неenforceable. Якщо субпідрядник з тих юрисдикцій — залиште пункт, але не розраховуйте на нього як єдиний захист. — Olga &lt;/aside&gt;</w:t>
      </w:r>
    </w:p>
    <w:p>
      <w:pPr>
        <w:spacing w:after="18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Субпідрядник не може вступати у будь-які ділові стосунки з особами, які були клієнтами Контрактора і про існування яких Субпідрядник дізнався під час виконання цього договору.</w:t>
      </w:r>
    </w:p>
    <w:p>
      <w:pPr>
        <w:pStyle w:val="Heading2"/>
        <w:keepNext/>
        <w:spacing w:after="180" w:before="360"/>
      </w:pPr>
      <w:r>
        <w:t xml:space="preserve">5. Deliverables and Intellectual Property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У 2024 ми ледь не втратили IP на великому проекті через невиважене формулювання цього пункту. Не послаблювати без консультації. — Olga &lt;/aside&gt;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матеріали, розроблені або надані Контрактору під час виконання Послуг (результати робіт)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80"/>
        <w:jc w:val="both"/>
      </w:pPr>
      <w:r>
        <w:rPr>
          <w:b/>
          <w:bCs/>
        </w:rPr>
        <w:t xml:space="preserve">Open-source код.</w:t>
      </w:r>
      <w:r>
        <w:t xml:space="preserve"> Субпідрядник гарантує, що не включав і не включатиме жодного open-source коду чи бібліотек під GPL, AGPL або іншими copyleft-ліцензіями без попередньої письмової згоди Контрактора, якщо таке включення зобов'язує Контрактора ліцензувати власне програмне забезпечення далі.</w:t>
      </w:r>
    </w:p>
    <w:p>
      <w:pPr>
        <w:pStyle w:val="Heading2"/>
        <w:keepNext/>
        <w:spacing w:after="180" w:before="360"/>
      </w:pPr>
      <w:r>
        <w:t xml:space="preserve">6. Publicity</w:t>
      </w:r>
    </w:p>
    <w:p>
      <w:pPr>
        <w:spacing w:after="180"/>
        <w:jc w:val="both"/>
      </w:pPr>
      <w:r>
        <w:t xml:space="preserve">Субпідрядник має право згадувати факт надання Послуг Контрактору на власному вебсайті виключно з маркетинговою метою.</w:t>
      </w:r>
    </w:p>
    <w:p>
      <w:pPr>
        <w:pStyle w:val="Heading2"/>
        <w:keepNext/>
        <w:spacing w:after="180" w:before="360"/>
      </w:pPr>
      <w:r>
        <w:t xml:space="preserve">7. Term and Termination</w:t>
      </w:r>
    </w:p>
    <w:p>
      <w:pPr>
        <w:spacing w:after="180"/>
        <w:jc w:val="both"/>
      </w:pPr>
      <w:r>
        <w:rPr>
          <w:b/>
          <w:bCs/>
        </w:rPr>
        <w:t xml:space="preserve">Term.</w:t>
      </w:r>
      <w:r>
        <w:t xml:space="preserve"> Цей договір набуває чинності від Start date і діє до розірвання однією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Termination Контрактором (перші 3 місяці).</w:t>
      </w:r>
      <w:r>
        <w:t xml:space="preserve"> Протягом перших </w:t>
      </w:r>
      <w:r>
        <w:rPr>
          <w:b/>
          <w:bCs/>
        </w:rPr>
        <w:t xml:space="preserve">трьох (3) місяців</w:t>
      </w:r>
      <w:r>
        <w:t xml:space="preserve"> від Start date, Контрактор може розірвати цей договір у будь-який час, надавши Субпідряднику </w:t>
      </w:r>
      <w:r>
        <w:rPr>
          <w:b/>
          <w:bCs/>
        </w:rPr>
        <w:t xml:space="preserve">1-денне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Termination Контрактором (після 3 місяців).</w:t>
      </w:r>
      <w:r>
        <w:t xml:space="preserve"> Після початкового тримісячного періоду, Контрактор може розірвати цей договір у будь-який час, надавши Субпідряднику </w:t>
      </w:r>
      <w:r>
        <w:rPr>
          <w:b/>
          <w:bCs/>
        </w:rPr>
        <w:t xml:space="preserve">14-денне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Termination Субпідрядником.</w:t>
      </w:r>
      <w:r>
        <w:t xml:space="preserve"> Субпідрядник може розірвати цей договір у будь-який час, надавши Контрактору </w:t>
      </w:r>
      <w:r>
        <w:rPr>
          <w:b/>
          <w:bCs/>
        </w:rPr>
        <w:t xml:space="preserve">14-денне</w:t>
      </w:r>
      <w:r>
        <w:t xml:space="preserve"> письмове попередження, незалежно від тривалості договору.</w:t>
      </w:r>
    </w:p>
    <w:p>
      <w:pPr>
        <w:pStyle w:val="Heading2"/>
        <w:keepNext/>
        <w:spacing w:after="180" w:before="360"/>
      </w:pPr>
      <w:r>
        <w:t xml:space="preserve">8. Limitation of Liability and Indemnification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Olga.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9. Effect of Termination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 (Payment Obligations)</w:t>
      </w:r>
    </w:p>
    <w:p>
      <w:pPr>
        <w:spacing w:after="180"/>
        <w:jc w:val="both"/>
      </w:pPr>
      <w:r>
        <w:t xml:space="preserve">"Хто винен — той платить. Хто отримав зайве — повертає."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проекти за обопільною згодою).</w:t>
      </w:r>
    </w:p>
    <w:p>
      <w:pPr>
        <w:pStyle w:val="Heading3"/>
        <w:keepNext/>
        <w:spacing w:after="120" w:before="240"/>
      </w:pPr>
      <w:r>
        <w:t xml:space="preserve">2. Handover (Subcontractor obligations)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notice: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subcontractor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subcontractor ігнорує цей пункт, ми маємо юридичну підставу вимагати його виконання і утримати фінальний платіж до handover-у.</w:t>
      </w:r>
    </w:p>
    <w:p>
      <w:pPr>
        <w:pStyle w:val="Heading3"/>
        <w:keepNext/>
        <w:spacing w:after="120" w:before="240"/>
      </w:pPr>
      <w:r>
        <w:t xml:space="preserve">3. Survival</w:t>
      </w:r>
    </w:p>
    <w:p>
      <w:pPr>
        <w:spacing w:after="180"/>
        <w:jc w:val="both"/>
      </w:pPr>
      <w:r>
        <w:t xml:space="preserve">Що залишається в силі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IP</w:t>
      </w:r>
      <w:r>
        <w:t xml:space="preserve"> — права на вже передані Deliverables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</w:t>
      </w:r>
      <w:r>
        <w:t xml:space="preserve"> — все, що було розкрито, залишається confidential</w:t>
      </w:r>
    </w:p>
    <w:p>
      <w:pPr>
        <w:spacing w:after="180"/>
        <w:jc w:val="both"/>
      </w:pPr>
      <w:r>
        <w:t xml:space="preserve">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 починається</w:t>
      </w:r>
    </w:p>
    <w:p>
      <w:pPr>
        <w:spacing w:after="180"/>
        <w:jc w:val="both"/>
      </w:pPr>
      <w:r>
        <w:t xml:space="preserve">з Start date, не від termination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Survival — це ключовий механізм, який робить розірвання "чистим": якщо ти вийшов, ти не забрав з собою ні IP,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10. Dispute Resolution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11. Підписи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Sloboda Software GMBH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Субпідрядник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Registry code: HRB260696B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ID: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Jurisdiction: Germany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Jurisdiction: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Am Märchenbrunnen 7, Berlin, 10407, Germany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VAT ID: DE366220301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VAT ID: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Olga Iakubovska, Director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Attachment A — Rate Sheet</w:t>
      </w:r>
    </w:p>
    <w:p>
      <w:pPr>
        <w:spacing w:after="180"/>
        <w:jc w:val="both"/>
      </w:pPr>
      <w:r>
        <w:t xml:space="preserve">До Договору субпідряду, укладеного ___________.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Ставка, USD/година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Sloboda Software GMBH</w:t>
      </w:r>
      <w:r>
        <w:t xml:space="preserve"> </w:t>
      </w:r>
      <w:r>
        <w:rPr>
          <w:b/>
          <w:bCs/>
        </w:rPr>
        <w:t xml:space="preserve">Субпідрядник</w:t>
      </w:r>
      <w:r>
        <w:t xml:space="preserve"> Signature: __________</w:t>
      </w:r>
      <w:r>
        <w:rPr>
          <w:i/>
          <w:iCs/>
        </w:rPr>
        <w:t xml:space="preserve"> Signature: </w:t>
      </w:r>
      <w:r>
        <w:t xml:space="preserve">_________</w:t>
      </w:r>
      <w:r>
        <w:rPr>
          <w:i/>
          <w:iCs/>
        </w:rPr>
        <w:t xml:space="preserve"> Olga Iakubovska, Director </w:t>
      </w:r>
      <w: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A8578"/>
        <w:sz w:val="16"/>
        <w:szCs w:val="16"/>
      </w:rPr>
      <w:t xml:space="preserve">Договір субпідряду —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Developer</dc:title>
  <dc:creator>Drafters</dc:creator>
  <dc:description>Exported from Drafters — Договір субпідряду — Developer</dc:description>
  <cp:lastModifiedBy>Un-named</cp:lastModifiedBy>
  <cp:revision>1</cp:revision>
  <dcterms:created xsi:type="dcterms:W3CDTF">2026-04-09T22:19:29.870Z</dcterms:created>
  <dcterms:modified xsi:type="dcterms:W3CDTF">2026-04-09T22:19:29.870Z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