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600"/>
        <w:jc w:val="center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Договір субпідряду — Marketing</w:t>
      </w:r>
    </w:p>
    <w:p>
      <w:pPr>
        <w:spacing w:after="240"/>
        <w:jc w:val="center"/>
      </w:pPr>
      <w:r>
        <w:rPr>
          <w:i/>
          <w:iCs/>
          <w:color w:val="555555"/>
          <w:sz w:val="22"/>
          <w:szCs w:val="22"/>
        </w:rPr>
        <w:t xml:space="preserve">між</w:t>
      </w:r>
    </w:p>
    <w:p>
      <w:pPr>
        <w:spacing w:after="120"/>
        <w:jc w:val="center"/>
      </w:pPr>
      <w:r>
        <w:rPr>
          <w:b/>
          <w:bCs/>
          <w:sz w:val="24"/>
          <w:szCs w:val="24"/>
        </w:rPr>
        <w:t xml:space="preserve">Sloboda Software GMBH</w:t>
      </w:r>
    </w:p>
    <w:p>
      <w:pPr>
        <w:spacing w:after="120"/>
        <w:jc w:val="center"/>
      </w:pPr>
      <w:r>
        <w:rPr>
          <w:i/>
          <w:iCs/>
          <w:color w:val="555555"/>
          <w:sz w:val="22"/>
          <w:szCs w:val="22"/>
        </w:rPr>
        <w:t xml:space="preserve">та</w:t>
      </w:r>
    </w:p>
    <w:p>
      <w:pPr>
        <w:spacing w:after="800"/>
        <w:jc w:val="center"/>
      </w:pPr>
      <w:r>
        <w:rPr>
          <w:b/>
          <w:bCs/>
          <w:sz w:val="24"/>
          <w:szCs w:val="24"/>
        </w:rPr>
        <w:t xml:space="preserve">Субпідрядник</w:t>
      </w:r>
    </w:p>
    <w:p>
      <w:pPr>
        <w:spacing w:after="120"/>
        <w:jc w:val="center"/>
      </w:pPr>
      <w:r>
        <w:rPr>
          <w:rFonts w:ascii="Georgia" w:cs="Georgia" w:eastAsia="Georgia" w:hAnsi="Georgia"/>
          <w:color w:val="8A8578"/>
          <w:sz w:val="18"/>
          <w:szCs w:val="18"/>
        </w:rPr>
        <w:t xml:space="preserve">Drafters</w:t>
      </w:r>
    </w:p>
    <w:p>
      <w:r>
        <w:r>
          <w:br w:type="page"/>
        </w:r>
      </w:r>
    </w:p>
    <w:p>
      <w:pPr>
        <w:pStyle w:val="Heading1"/>
        <w:keepNext/>
        <w:spacing w:after="180" w:before="360"/>
      </w:pPr>
      <w:r>
        <w:t xml:space="preserve">Договір субпідряду № ___________</w:t>
      </w:r>
    </w:p>
    <w:p>
      <w:pPr>
        <w:spacing w:after="180"/>
        <w:jc w:val="both"/>
      </w:pPr>
      <w:r>
        <w:rPr>
          <w:b/>
          <w:bCs/>
        </w:rPr>
        <w:t xml:space="preserve">Start date:</w:t>
      </w:r>
      <w:r>
        <w:t xml:space="preserve"> ___________</w:t>
      </w:r>
    </w:p>
    <w:p>
      <w:pPr>
        <w:spacing w:after="180"/>
        <w:jc w:val="both"/>
      </w:pPr>
      <w:r>
        <w:rPr>
          <w:b/>
          <w:bCs/>
        </w:rPr>
        <w:t xml:space="preserve">Контрактор:</w:t>
      </w:r>
      <w:r>
        <w:t xml:space="preserve"> </w:t>
      </w:r>
      <w:r>
        <w:rPr>
          <w:b/>
          <w:bCs/>
        </w:rPr>
        <w:t xml:space="preserve">Sloboda Software GMBH</w:t>
      </w:r>
      <w:r>
        <w:t xml:space="preserve">, юридична особа, зареєстрована відповідно до законодавства Федеративної Республіки Німеччина, Registry code </w:t>
      </w:r>
      <w:r>
        <w:rPr>
          <w:b/>
          <w:bCs/>
        </w:rPr>
        <w:t xml:space="preserve">HRB260696B</w:t>
      </w:r>
      <w:r>
        <w:t xml:space="preserve">, VAT ID </w:t>
      </w:r>
      <w:r>
        <w:rPr>
          <w:b/>
          <w:bCs/>
        </w:rPr>
        <w:t xml:space="preserve">DE366220301</w:t>
      </w:r>
      <w:r>
        <w:t xml:space="preserve">, з юридичною адресою: Am Märchenbrunnen 7, Berlin, 10407, Germany, в особі Директора Olga Iakubovska (надалі — "</w:t>
      </w:r>
      <w:r>
        <w:rPr>
          <w:b/>
          <w:bCs/>
        </w:rPr>
        <w:t xml:space="preserve">Контрактор</w:t>
      </w:r>
      <w:r>
        <w:t xml:space="preserve">").</w:t>
      </w:r>
    </w:p>
    <w:p>
      <w:pPr>
        <w:spacing w:after="180"/>
        <w:jc w:val="both"/>
      </w:pPr>
      <w:r>
        <w:rPr>
          <w:b/>
          <w:bCs/>
        </w:rPr>
        <w:t xml:space="preserve">Субпідрядник:</w:t>
      </w:r>
      <w:r>
        <w:t xml:space="preserve"> </w:t>
      </w:r>
      <w:r>
        <w:rPr>
          <w:b/>
          <w:bCs/>
        </w:rPr>
        <w:t xml:space="preserve">Private entrepreneur</w:t>
      </w:r>
      <w:r>
        <w:t xml:space="preserve"> ___________.</w:t>
      </w:r>
    </w:p>
    <w:p>
      <w:pPr>
        <w:pStyle w:val="Heading2"/>
        <w:keepNext/>
        <w:spacing w:after="180" w:before="360"/>
      </w:pPr>
      <w:r>
        <w:t xml:space="preserve">1. Key terms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Значення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Субпідрядні послуги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Надання маркетингових та суміжних консультаційних послуг, включно з (але не обмежуючись) digital marketing, strategic marketing planning, campaign management, performance marketing (надалі — "</w:t>
            </w:r>
            <w:r>
              <w:rPr>
                <w:b/>
                <w:bCs/>
                <w:sz w:val="20"/>
                <w:szCs w:val="20"/>
              </w:rPr>
              <w:t xml:space="preserve">Послуги</w:t>
            </w:r>
            <w:r>
              <w:rPr>
                <w:b w:val="false"/>
                <w:bCs w:val="false"/>
                <w:sz w:val="20"/>
                <w:szCs w:val="20"/>
              </w:rPr>
              <w:t xml:space="preserve">")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Порядок оплати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Post-payment згідно з time-sheet, наданим Субпідрядником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Інвойсинг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Щомісячно. Контрактор зобов'язується сплатити протягом </w:t>
            </w:r>
            <w:r>
              <w:rPr>
                <w:b/>
                <w:bCs/>
                <w:sz w:val="20"/>
                <w:szCs w:val="20"/>
              </w:rPr>
              <w:t xml:space="preserve">21 календарного дня</w:t>
            </w:r>
            <w:r>
              <w:rPr>
                <w:b w:val="false"/>
                <w:bCs w:val="false"/>
                <w:sz w:val="20"/>
                <w:szCs w:val="20"/>
              </w:rPr>
              <w:t xml:space="preserve"> з дати інвойсу.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Банківські перекази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банківський рахунок, зазначений в інвойсі. Кожна сторона покриває банківські комісії свого банку.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Овертайм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Тільки з письмового погодження Контрактора.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Перегляд ставки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частіше ніж раз на 12 місяців. Не більше </w:t>
            </w:r>
            <w:r>
              <w:rPr>
                <w:b/>
                <w:bCs/>
                <w:sz w:val="20"/>
                <w:szCs w:val="20"/>
              </w:rPr>
              <w:t xml:space="preserve">10%</w:t>
            </w:r>
            <w:r>
              <w:rPr>
                <w:b w:val="false"/>
                <w:bCs w:val="false"/>
                <w:sz w:val="20"/>
                <w:szCs w:val="20"/>
              </w:rPr>
              <w:t xml:space="preserve"> річних.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2. Платежі за послуги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3. Non-solicitation</w:t>
      </w:r>
    </w:p>
    <w:p>
      <w:pPr>
        <w:spacing w:after="18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8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keepNext/>
        <w:spacing w:after="180" w:before="360"/>
      </w:pPr>
      <w:r>
        <w:t xml:space="preserve">4. Non-compete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Non-compete у Каліфорнії та частинах ЄС може бути неenforceable. Якщо субпідрядник з тих юрисдикцій — залиште пункт, але не розраховуйте на нього як єдиний захист. — Olga &lt;/aside&gt;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keepNext/>
        <w:spacing w:after="180" w:before="360"/>
      </w:pPr>
      <w:r>
        <w:t xml:space="preserve">5. Deliverables and Intellectual Property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всі матеріали, документацію та результати, надані Контрактору під час виконання Послуг (Deliverables)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жодне Open-Source Software у Deliverables без попередньої письмової згоди Контрактора.</w:t>
      </w:r>
    </w:p>
    <w:p>
      <w:pPr>
        <w:pStyle w:val="Heading2"/>
        <w:keepNext/>
        <w:spacing w:after="180" w:before="360"/>
      </w:pPr>
      <w:r>
        <w:t xml:space="preserve">Коли використовувати</w:t>
      </w:r>
    </w:p>
    <w:p>
      <w:pPr>
        <w:spacing w:after="180"/>
        <w:jc w:val="both"/>
      </w:pPr>
      <w:r>
        <w:t xml:space="preserve">Цей варіант — для </w:t>
      </w:r>
      <w:r>
        <w:rPr>
          <w:b/>
          <w:bCs/>
        </w:rPr>
        <w:t xml:space="preserve">не-розробницьких послуг</w:t>
      </w:r>
      <w:r>
        <w:t xml:space="preserve">: PM, маркетинг, консалтинг, дизайн-роботи без генерації production-коду.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(Project Manager)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(Marketing)</w:t>
      </w:r>
    </w:p>
    <w:p>
      <w:pPr>
        <w:pStyle w:val="Heading2"/>
        <w:keepNext/>
        <w:spacing w:after="180" w:before="360"/>
      </w:pPr>
      <w:r>
        <w:t xml:space="preserve">Чим відрізняється від IP Assignment (dev)</w:t>
      </w:r>
    </w:p>
    <w:p>
      <w:pPr>
        <w:spacing w:after="180"/>
        <w:jc w:val="both"/>
      </w:pPr>
      <w:r>
        <w:t xml:space="preserve">Версія для розробників містить розгорнуте застереження про copyleft-ліцензії (GPL, AGPL) та обмеження "onwards licensing" — це спеціальна захистна мова від license contamination в кодовій базі. Для PM і маркетингу цей захист не має сенсу, бо вони не пишуть production-код. Тому у їхніх договорах open-source застереження стисле: просто "нічого без письмової згоди".</w:t>
      </w:r>
    </w:p>
    <w:p>
      <w:pPr>
        <w:pStyle w:val="Heading2"/>
        <w:keepNext/>
        <w:spacing w:after="180" w:before="360"/>
      </w:pPr>
      <w:r>
        <w:t xml:space="preserve">Що зафіксувати при прийманні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Тип deliverable: документ, презентація, креатив, звіт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Формат файлу та місце збереження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Факт повної оплати на дату передачі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Підтвердження, що Deliverable не містить third-party assets</w:t>
      </w:r>
    </w:p>
    <w:p>
      <w:pPr>
        <w:spacing w:after="180"/>
        <w:jc w:val="both"/>
      </w:pPr>
      <w:r>
        <w:t xml:space="preserve">без ліцензії (фотобанки, шрифти, музика тощо)</w:t>
      </w:r>
    </w:p>
    <w:p>
      <w:pPr>
        <w:pStyle w:val="Heading2"/>
        <w:keepNext/>
        <w:spacing w:after="180" w:before="360"/>
      </w:pPr>
      <w:r>
        <w:t xml:space="preserve">6. Publicity</w:t>
      </w:r>
    </w:p>
    <w:p>
      <w:pPr>
        <w:spacing w:after="180"/>
        <w:jc w:val="both"/>
      </w:pPr>
      <w:r>
        <w:t xml:space="preserve">Субпідрядник має право згадувати факт надання Послуг Контрактору на власному вебсайті виключно з маркетинговою метою.</w:t>
      </w:r>
    </w:p>
    <w:p>
      <w:pPr>
        <w:pStyle w:val="Heading2"/>
        <w:keepNext/>
        <w:spacing w:after="180" w:before="360"/>
      </w:pPr>
      <w:r>
        <w:t xml:space="preserve">7. Term and Termination</w:t>
      </w:r>
    </w:p>
    <w:p>
      <w:pPr>
        <w:spacing w:after="180"/>
        <w:jc w:val="both"/>
      </w:pPr>
      <w:r>
        <w:rPr>
          <w:b/>
          <w:bCs/>
        </w:rPr>
        <w:t xml:space="preserve">Term.</w:t>
      </w:r>
      <w:r>
        <w:t xml:space="preserve"> Цей договір набуває чинності від Start date і діє до розірвання однією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Termination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Start date,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Termination Контрактором (після 3 місяців).</w:t>
      </w:r>
      <w:r>
        <w:t xml:space="preserve"> Після початкового тримісячного періоду,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Termination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keepNext/>
        <w:spacing w:after="180" w:before="360"/>
      </w:pPr>
      <w:r>
        <w:t xml:space="preserve">8. Limitation of Liability and Indemnification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Olga.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9. Effect of Termination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 (Payment Obligations)</w:t>
      </w:r>
    </w:p>
    <w:p>
      <w:pPr>
        <w:spacing w:after="180"/>
        <w:jc w:val="both"/>
      </w:pPr>
      <w:r>
        <w:t xml:space="preserve">"Хто винен — той платить. Хто отримав зайве — повертає."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проекти за обопільною згодою).</w:t>
      </w:r>
    </w:p>
    <w:p>
      <w:pPr>
        <w:pStyle w:val="Heading3"/>
        <w:keepNext/>
        <w:spacing w:after="120" w:before="240"/>
      </w:pPr>
      <w:r>
        <w:t xml:space="preserve">2. Handover (Subcontractor obligations)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notice: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subcontractor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subcontractor ігнорує цей пункт, ми маємо юридичну підставу вимагати його виконання і утримати фінальний платіж до handover-у.</w:t>
      </w:r>
    </w:p>
    <w:p>
      <w:pPr>
        <w:pStyle w:val="Heading3"/>
        <w:keepNext/>
        <w:spacing w:after="120" w:before="240"/>
      </w:pPr>
      <w:r>
        <w:t xml:space="preserve">3. Survival</w:t>
      </w:r>
    </w:p>
    <w:p>
      <w:pPr>
        <w:spacing w:after="180"/>
        <w:jc w:val="both"/>
      </w:pPr>
      <w:r>
        <w:t xml:space="preserve">Що залишається в силі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IP</w:t>
      </w:r>
      <w:r>
        <w:t xml:space="preserve"> — права на вже передані Deliverables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Confidentiality</w:t>
      </w:r>
      <w:r>
        <w:t xml:space="preserve"> — все, що було розкрито, залишається confidential</w:t>
      </w:r>
    </w:p>
    <w:p>
      <w:pPr>
        <w:spacing w:after="180"/>
        <w:jc w:val="both"/>
      </w:pPr>
      <w:r>
        <w:t xml:space="preserve">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 починається</w:t>
      </w:r>
    </w:p>
    <w:p>
      <w:pPr>
        <w:spacing w:after="180"/>
        <w:jc w:val="both"/>
      </w:pPr>
      <w:r>
        <w:t xml:space="preserve">з Start date, не від termination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Survival — це ключовий механізм, який робить розірвання "чистим": якщо ти вийшов, ти не забрав з собою ні IP,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10. Dispute Resolution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11. Підписи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Sloboda Software GMBH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Private entrepreneur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Registry code: HRB260696B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 ID: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Am Märchenbrunnen 7, Berlin, 10407,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VAT ID: DE366220301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Bank: __________</w:t>
            </w:r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 / Account: </w:t>
            </w:r>
            <w:r>
              <w:rPr>
                <w:b w:val="false"/>
                <w:bCs w:val="false"/>
                <w:sz w:val="20"/>
                <w:szCs w:val="20"/>
              </w:rPr>
              <w:t xml:space="preserve">_________</w:t>
            </w:r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 / SWIFT: </w:t>
            </w:r>
            <w:r>
              <w:rPr>
                <w:b w:val="false"/>
                <w:bCs w:val="false"/>
                <w:sz w:val="20"/>
                <w:szCs w:val="20"/>
              </w:rPr>
              <w:t xml:space="preserve">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Olga Iakubovska, Director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Attachment A — Rate Sheet</w:t>
      </w:r>
    </w:p>
    <w:p>
      <w:pPr>
        <w:spacing w:after="180"/>
        <w:jc w:val="both"/>
      </w:pPr>
      <w:r>
        <w:t xml:space="preserve">До Договору субпідряду № __________</w:t>
      </w:r>
      <w:r>
        <w:rPr>
          <w:i/>
          <w:iCs/>
        </w:rPr>
        <w:t xml:space="preserve">, укладеного </w:t>
      </w:r>
      <w:r>
        <w:t xml:space="preserve">__________.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Роль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Ставка, EUR (€)/година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Digital Marketing Specialist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color w:val="8A8578"/>
        <w:sz w:val="16"/>
        <w:szCs w:val="16"/>
      </w:rPr>
      <w:t xml:space="preserve">Договір субпідряду — Marketing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Marketing</dc:title>
  <dc:creator>Drafters</dc:creator>
  <dc:description>Exported from Drafters — Договір субпідряду — Marketing</dc:description>
  <cp:lastModifiedBy>Un-named</cp:lastModifiedBy>
  <cp:revision>1</cp:revision>
  <dcterms:created xsi:type="dcterms:W3CDTF">2026-04-09T22:19:29.884Z</dcterms:created>
  <dcterms:modified xsi:type="dcterms:W3CDTF">2026-04-09T22:19:29.884Z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