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Olga.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indemnification</w:t>
      </w:r>
      <w:r>
        <w:t xml:space="preserve"> — покриває третьо-сторонні позови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можливість переключити відшкодування на субпідрядника, якщо це його код 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limit</w:t>
      </w:r>
      <w:r>
        <w:t xml:space="preserve"> — виключає spekulative damages (наприклад,</w:t>
      </w:r>
    </w:p>
    <w:p>
      <w:pPr>
        <w:spacing w:after="180"/>
        <w:jc w:val="both"/>
      </w:pPr>
      <w:r>
        <w:t xml:space="preserve">"ми втратили контракт на $10M через вашу затримку у 2 дні"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liability cap</w:t>
      </w:r>
      <w:r>
        <w:t xml:space="preserve"> — hard ceiling на будь-яку відповідальність,</w:t>
      </w:r>
    </w:p>
    <w:p>
      <w:pPr>
        <w:spacing w:after="180"/>
        <w:jc w:val="both"/>
      </w:pPr>
      <w:r>
        <w:t xml:space="preserve">прив'язаний до реальних грошей, які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стандарт у IT-сервісному індустрії. Аргумент: відповідальність має бути пропорційна розміру engagement-а. Якщо ми заплатили субпідряднику $100k за рік, максимальна його відповідальність — $100k. Не $1M, не $50k. Це прогнозовано і симетрично.</w:t>
      </w:r>
    </w:p>
    <w:p>
      <w:pPr>
        <w:spacing w:after="180"/>
        <w:jc w:val="both"/>
      </w:pPr>
      <w:r>
        <w:t xml:space="preserve">Деякі клієнти намагаються зменшити cap до 3–6 місяців або до фіксованої суми. У таких випадках треба розуміти, чи це зниження відповідає вартості потенційних ризиків конкретного проекту.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IP.</w:t>
      </w:r>
      <w:r>
        <w:t xml:space="preserve"> Якщо ми передали клієнту код з GPL-залежністю</w:t>
      </w:r>
    </w:p>
    <w:p>
      <w:pPr>
        <w:spacing w:after="180"/>
        <w:jc w:val="both"/>
      </w:pPr>
      <w:r>
        <w:t xml:space="preserve">і клієнт отримав позов від Free Software Foundation — наш cap у 12 місяців fees </w:t>
      </w:r>
      <w:r>
        <w:rPr>
          <w:b/>
          <w:bCs/>
        </w:rPr>
        <w:t xml:space="preserve">не</w:t>
      </w:r>
      <w:r>
        <w:t xml:space="preserve"> обмежує нашу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 breach.</w:t>
      </w:r>
      <w:r>
        <w:t xml:space="preserve"> Порушення конфіденційності</w:t>
      </w:r>
    </w:p>
    <w:p>
      <w:pPr>
        <w:spacing w:after="180"/>
        <w:jc w:val="both"/>
      </w:pPr>
      <w:r>
        <w:t xml:space="preserve">часто виходить за межі mutual limit, бо збитки тут "віддалені за визначенням" — клієнт не може точно обрахувати, скільки коштувала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Willful misconduct.</w:t>
      </w:r>
      <w:r>
        <w:t xml:space="preserve"> Умисні порушення не обмежуються cap-ом.</w:t>
      </w:r>
    </w:p>
    <w:p>
      <w:pPr>
        <w:spacing w:after="180"/>
        <w:jc w:val="both"/>
      </w:pPr>
      <w:r>
        <w:t xml:space="preserve">Це mandatory в багатьох юрисдикціях і записано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Це другий справжній cross-pillar клаз (після Dispute Resolution UK). Зміна cap-у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2026-04-09T22:19:30.011Z</dcterms:created>
  <dcterms:modified xsi:type="dcterms:W3CDTF">2026-04-09T22:19:30.011Z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