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8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80"/>
        <w:jc w:val="both"/>
      </w:pPr>
      <w:r>
        <w:t xml:space="preserve">до переговорів або завершують договір на поточній ставці.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 client-facing Services Agreement cap часто вищий — до 12%.</w:t>
      </w:r>
    </w:p>
    <w:p>
      <w:pPr>
        <w:spacing w:after="180"/>
        <w:jc w:val="both"/>
      </w:pPr>
      <w:r>
        <w:t xml:space="preserve">У субпідрядних — 10%. Це свідома differenceс, яка захищає маржу.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ставка регулярно переглядається "по маркету" без цього cap-у —</w:t>
      </w:r>
    </w:p>
    <w:p>
      <w:pPr>
        <w:spacing w:after="180"/>
        <w:jc w:val="both"/>
      </w:pPr>
      <w:r>
        <w:t xml:space="preserve">ми втрачаємо контроль над собівартістю проекту.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2026-04-09T22:19:29.997Z</dcterms:created>
  <dcterms:modified xsi:type="dcterms:W3CDTF">2026-04-09T22:19:29.997Z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