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client-facing Services Agreement cap часто вищий — до 12%.</w:t>
      </w:r>
    </w:p>
    <w:p>
      <w:pPr>
        <w:spacing w:after="180"/>
        <w:jc w:val="both"/>
      </w:pPr>
      <w:r>
        <w:t xml:space="preserve">У субпідрядних — 10%. Це свідома differenceс,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"по маркету" без цього cap-у —</w:t>
      </w:r>
    </w:p>
    <w:p>
      <w:pPr>
        <w:spacing w:after="180"/>
        <w:jc w:val="both"/>
      </w:pPr>
      <w:r>
        <w:t xml:space="preserve">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2026-04-09T22:19:30.030Z</dcterms:created>
  <dcterms:modified xsi:type="dcterms:W3CDTF">2026-04-09T22:19:30.030Z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