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(субпідряд)</w:t>
      </w:r>
    </w:p>
    <w:p>
      <w:pPr>
        <w:spacing w:after="180"/>
        <w:jc w:val="both"/>
      </w:pPr>
      <w:r>
        <w:rPr>
          <w:b/>
          <w:bCs/>
        </w:rPr>
        <w:t xml:space="preserve">Term.</w:t>
      </w:r>
      <w:r>
        <w:t xml:space="preserve"> Цей договір набуває чинності від Start date і діє до розірвання однією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Termination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Start date,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Termination Контрактором (після 3 місяців).</w:t>
      </w:r>
      <w:r>
        <w:t xml:space="preserve"> Після початкового тримісячного періоду,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Termination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keepNext/>
        <w:spacing w:after="180" w:before="360"/>
      </w:pPr>
      <w:r>
        <w:t xml:space="preserve">Чому 1 день у перші 3 місяці</w:t>
      </w:r>
    </w:p>
    <w:p>
      <w:pPr>
        <w:spacing w:after="180"/>
        <w:jc w:val="both"/>
      </w:pPr>
      <w:r>
        <w:t xml:space="preserve">Це probation-механізм. Перший квартал роботи з новим субпідрядником — це випробувальний період. Якщо щось іде не так (технічно, комунікативно, по якості) — ми можемо швидко вийти без довгого notice-у, який коштує нам гроші.</w:t>
      </w:r>
    </w:p>
    <w:p>
      <w:pPr>
        <w:spacing w:after="180"/>
        <w:jc w:val="both"/>
      </w:pPr>
      <w:r>
        <w:t xml:space="preserve">Після 3 місяців передбачається, що ми вже вклалися у knowledge transfer і integration — і різка втрата субпідрядника коштує нам більше. 14 днів — компроміс між нашою гнучкістю і його фінансовою стабільністю.</w:t>
      </w:r>
    </w:p>
    <w:p>
      <w:pPr>
        <w:pStyle w:val="Heading2"/>
        <w:keepNext/>
        <w:spacing w:after="180" w:before="360"/>
      </w:pPr>
      <w:r>
        <w:t xml:space="preserve">Симетрія з боку Субпідрядника</w:t>
      </w:r>
    </w:p>
    <w:p>
      <w:pPr>
        <w:spacing w:after="180"/>
        <w:jc w:val="both"/>
      </w:pPr>
      <w:r>
        <w:t xml:space="preserve">Субпідрядник має </w:t>
      </w:r>
      <w:r>
        <w:rPr>
          <w:b/>
          <w:bCs/>
        </w:rPr>
        <w:t xml:space="preserve">завжди</w:t>
      </w:r>
      <w:r>
        <w:t xml:space="preserve"> 14 днів notice, навіть у перший місяць. Це свідома несиметричність: у перший місяць </w:t>
      </w:r>
      <w:r>
        <w:rPr>
          <w:b/>
          <w:bCs/>
        </w:rPr>
        <w:t xml:space="preserve">ми</w:t>
      </w:r>
      <w:r>
        <w:t xml:space="preserve"> можемо швидко вийти, </w:t>
      </w:r>
      <w:r>
        <w:rPr>
          <w:b/>
          <w:bCs/>
        </w:rPr>
        <w:t xml:space="preserve">він — ні</w:t>
      </w:r>
      <w:r>
        <w:t xml:space="preserve">. Аргумент — probation-ризик переважно на нашому боці.</w:t>
      </w:r>
    </w:p>
    <w:p>
      <w:pPr>
        <w:pStyle w:val="Heading2"/>
        <w:keepNext/>
        <w:spacing w:after="180" w:before="360"/>
      </w:pPr>
      <w:r>
        <w:t xml:space="preserve">Що цей пункт НЕ включає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for cause</w:t>
      </w:r>
      <w:r>
        <w:t xml:space="preserve"> — негайне розірвання через серйозне</w:t>
      </w:r>
    </w:p>
    <w:p>
      <w:pPr>
        <w:spacing w:after="180"/>
        <w:jc w:val="both"/>
      </w:pPr>
      <w:r>
        <w:t xml:space="preserve">порушення. Не описано явно; у юридичній практиці припускається, що matеrial breach дозволяє негайне termination без notice.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Partial termination</w:t>
      </w:r>
      <w:r>
        <w:t xml:space="preserve"> — можливість розірвати частину scope-у.</w:t>
      </w:r>
    </w:p>
    <w:p>
      <w:pPr>
        <w:spacing w:after="180"/>
        <w:jc w:val="both"/>
      </w:pPr>
      <w:r>
        <w:t xml:space="preserve">Відсутнє. Розірвання завжди тотальне.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Severance</w:t>
      </w:r>
      <w:r>
        <w:t xml:space="preserve"> — жодних compensation payments при termination.</w:t>
      </w:r>
    </w:p>
    <w:p>
      <w:pPr>
        <w:spacing w:after="180"/>
        <w:jc w:val="both"/>
      </w:pPr>
      <w:r>
        <w:t xml:space="preserve">Субпідрядник отримує оплату тільки за виконану роботу до дати розірвання.</w:t>
      </w:r>
    </w:p>
    <w:p>
      <w:pPr>
        <w:pStyle w:val="Heading2"/>
        <w:keepNext/>
        <w:spacing w:after="180" w:before="360"/>
      </w:pPr>
      <w:r>
        <w:t xml:space="preserve">Де ще використовується</w:t>
      </w:r>
    </w:p>
    <w:p>
      <w:pPr>
        <w:spacing w:after="180"/>
        <w:jc w:val="both"/>
      </w:pPr>
      <w:r>
        <w:t xml:space="preserve">Ідентичний пункт присутній у всіх трьох субпідрядних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spacing w:after="180"/>
        <w:jc w:val="both"/>
      </w:pPr>
      <w:r>
        <w:t xml:space="preserve">У client-facing Services Agreement Sloboda 2026 використовується інший варіант — див. Termination at will.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(субпідряд)</dc:title>
  <dc:creator>Drafters</dc:creator>
  <dc:description>Exported from Drafters — Term and Termination (субпідряд)</dc:description>
  <cp:lastModifiedBy>Un-named</cp:lastModifiedBy>
  <cp:revision>1</cp:revision>
  <dcterms:created xsi:type="dcterms:W3CDTF">2026-04-09T22:19:30.041Z</dcterms:created>
  <dcterms:modified xsi:type="dcterms:W3CDTF">2026-04-09T22:19:30.041Z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