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8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8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keepNext/>
        <w:spacing w:after="180" w:before="360"/>
      </w:pPr>
      <w:r>
        <w:t xml:space="preserve">Документи, які використовуються</w:t>
      </w:r>
    </w:p>
    <w:p>
      <w:pPr>
        <w:spacing w:after="18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8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80"/>
        <w:jc w:val="both"/>
      </w:pPr>
      <w:r>
        <w:t xml:space="preserve">до operations. Субпідрядники — нетерплячі, вони переходять до конкурентів за 3-4 дні очікування.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Неузгоджена ставка.</w:t>
      </w:r>
      <w:r>
        <w:t xml:space="preserve"> Tech Lead озвучує приблизну цифру, PM</w:t>
      </w:r>
    </w:p>
    <w:p>
      <w:pPr>
        <w:spacing w:after="180"/>
        <w:jc w:val="both"/>
      </w:pPr>
      <w:r>
        <w:t xml:space="preserve">озвучує іншу. Завжди фінальну ставку погоджує PM з посиланням на затверджений бюджет.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</w:t>
      </w:r>
    </w:p>
    <w:p>
      <w:pPr>
        <w:spacing w:after="180"/>
        <w:jc w:val="both"/>
      </w:pP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</w:t>
      </w:r>
    </w:p>
    <w:p>
      <w:pPr>
        <w:spacing w:after="180"/>
        <w:jc w:val="both"/>
      </w:pPr>
      <w:r>
        <w:t xml:space="preserve">IP Assignment про GPL/AGPL. Tech Lead має явно проговорити це на технічному інтерв'ю.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80"/>
        <w:jc w:val="both"/>
      </w:pPr>
      <w:r>
        <w:t xml:space="preserve">потрапляє у план навантаження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субпідрядника — дзеркальний процес, коли співпраця</w:t>
      </w:r>
    </w:p>
    <w:p>
      <w:pPr>
        <w:spacing w:after="180"/>
        <w:jc w:val="both"/>
      </w:pPr>
      <w:r>
        <w:t xml:space="preserve">завершується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governance процес — періодичний перегляд шаблонів</w:t>
      </w:r>
    </w:p>
    <w:p>
      <w:pPr>
        <w:spacing w:after="180"/>
        <w:jc w:val="both"/>
      </w:pPr>
      <w:r>
        <w:t xml:space="preserve">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2026-04-09T22:19:29.821Z</dcterms:created>
  <dcterms:modified xsi:type="dcterms:W3CDTF">2026-04-09T22:19:29.821Z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