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Критерії прийняття</w:t>
      </w:r>
    </w:p>
    <w:p>
      <w:pPr>
        <w:spacing w:after="180"/>
        <w:jc w:val="both"/>
      </w:pPr>
      <w:r>
        <w:rPr>
          <w:b/>
          <w:bCs/>
        </w:rPr>
        <w:t xml:space="preserve">Acceptance Process.</w:t>
      </w:r>
      <w:r>
        <w:t xml:space="preserve"> Upon delivery of each Deliverable, the Customer shall have </w:t>
      </w:r>
      <w:r>
        <w:rPr>
          <w:b/>
          <w:bCs/>
        </w:rPr>
        <w:t xml:space="preserve">five (5) business days</w:t>
      </w:r>
      <w:r>
        <w:t xml:space="preserve"> to review and either: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</w:t>
      </w:r>
      <w:r>
        <w:t xml:space="preserve"> the Deliverable in writing,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</w:t>
      </w:r>
      <w:r>
        <w:t xml:space="preserve"> the Deliverable with a written description of material</w:t>
      </w:r>
    </w:p>
    <w:p>
      <w:pPr>
        <w:spacing w:after="180"/>
        <w:jc w:val="both"/>
      </w:pPr>
      <w:r>
        <w:t xml:space="preserve">deficiencies referencing the acceptance criteria defined in the applicable Statement of Work.</w:t>
      </w:r>
    </w:p>
    <w:p>
      <w:pPr>
        <w:spacing w:after="180"/>
        <w:jc w:val="both"/>
      </w:pPr>
      <w:r>
        <w:rPr>
          <w:b/>
          <w:bCs/>
        </w:rPr>
        <w:t xml:space="preserve">Deemed Acceptance.</w:t>
      </w:r>
      <w:r>
        <w:t xml:space="preserve"> If the Customer does not respond within the review period, the Deliverable shall be deemed accepted.</w:t>
      </w:r>
    </w:p>
    <w:p>
      <w:pPr>
        <w:spacing w:after="180"/>
        <w:jc w:val="both"/>
      </w:pPr>
      <w:r>
        <w:rPr>
          <w:b/>
          <w:bCs/>
        </w:rPr>
        <w:t xml:space="preserve">Cure Period.</w:t>
      </w:r>
      <w:r>
        <w:t xml:space="preserve"> If the Customer rejects a Deliverable, the Contractor shall have </w:t>
      </w:r>
      <w:r>
        <w:rPr>
          <w:b/>
          <w:bCs/>
        </w:rPr>
        <w:t xml:space="preserve">ten (10) business days</w:t>
      </w:r>
      <w:r>
        <w:t xml:space="preserve"> to cure the identified deficiencies and resubmit. The Customer then has an additional </w:t>
      </w:r>
      <w:r>
        <w:rPr>
          <w:b/>
          <w:bCs/>
        </w:rPr>
        <w:t xml:space="preserve">three (3) business days</w:t>
      </w:r>
      <w:r>
        <w:t xml:space="preserve"> to re-review.</w:t>
      </w:r>
    </w:p>
    <w:p>
      <w:pPr>
        <w:spacing w:after="180"/>
        <w:jc w:val="both"/>
      </w:pPr>
      <w:r>
        <w:rPr>
          <w:b/>
          <w:bCs/>
        </w:rPr>
        <w:t xml:space="preserve">Scope of Rejection.</w:t>
      </w:r>
      <w:r>
        <w:t xml:space="preserve"> The Customer may only reject a Deliverable based on material non-conformance with the acceptance criteria specified in the Statement of Work. Cosmetic preferences, scope additions, or requirements not documented in the SoW do not constitute valid grounds for rejection.</w:t>
      </w:r>
    </w:p>
    <w:p>
      <w:pPr>
        <w:pStyle w:val="Heading2"/>
        <w:keepNext/>
        <w:spacing w:after="180" w:before="360"/>
      </w:pPr>
      <w:r>
        <w:t xml:space="preserve">How this clause works in practice</w:t>
      </w:r>
    </w:p>
    <w:p>
      <w:pPr>
        <w:spacing w:after="180"/>
        <w:jc w:val="both"/>
      </w:pPr>
      <w:r>
        <w:t xml:space="preserve">The 5-day review window prevents indefinite "we haven't looked at it yet" delays. Deemed acceptance after 5 days is the contractor's main protection — without it, a busy client team can block payment indefinitely by simply not reviewing.</w:t>
      </w:r>
    </w:p>
    <w:p>
      <w:pPr>
        <w:spacing w:after="180"/>
        <w:jc w:val="both"/>
      </w:pPr>
      <w:r>
        <w:t xml:space="preserve">The "scope of rejection" paragraph is critical: it limits rejection to documented criteria, not subjective preferences. Without this, acceptance becomes a moving target.</w:t>
      </w:r>
    </w:p>
    <w:p>
      <w:pPr>
        <w:pStyle w:val="Heading2"/>
        <w:keepNext/>
        <w:spacing w:after="180" w:before="360"/>
      </w:pPr>
      <w:r>
        <w:t xml:space="preserve">Interaction with other clauses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Triggers payment via Milestone-Based Payment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Governed by the scope defined in Statement of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Disputes escalate through Payment Dispute (client-facing)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Критерії прийняття</dc:title>
  <dc:creator>Drafters</dc:creator>
  <dc:description>Exported from Drafters — Критерії прийняття</dc:description>
  <cp:lastModifiedBy>Un-named</cp:lastModifiedBy>
  <cp:revision>1</cp:revision>
  <dcterms:created xsi:type="dcterms:W3CDTF">2026-04-13T08:49:31.053Z</dcterms:created>
  <dcterms:modified xsi:type="dcterms:W3CDTF">2026-04-13T08:49:31.053Z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