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«У міру того, як здійснюються необхідні платежі»</w:t>
      </w:r>
      <w:r>
        <w:t xml:space="preserve"> — трохи</w:t>
      </w:r>
    </w:p>
    <w:p>
      <w:pPr>
        <w:spacing w:after="180"/>
        <w:jc w:val="both"/>
      </w:pPr>
      <w:r>
        <w:t xml:space="preserve">незграбна фраза. На практиці означає: «після того, як ми виставили рахунок і клієнт його сплатив».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Незавершені результати.</w:t>
      </w:r>
      <w:r>
        <w:t xml:space="preserve"> На випадок припинення договору</w:t>
      </w:r>
    </w:p>
    <w:p>
      <w:pPr>
        <w:spacing w:after="180"/>
        <w:jc w:val="both"/>
      </w:pPr>
      <w:r>
        <w:t xml:space="preserve">ми передаємо навіть незавершений код, за який було сплачено. Це чесно, але означає, що ми маємо тримати лад у репозиторіях у будь-який момент часу.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Застереження про copyleft</w:t>
      </w:r>
      <w:r>
        <w:t xml:space="preserve"> тут ідентичне до субпідрядної</w:t>
      </w:r>
    </w:p>
    <w:p>
      <w:pPr>
        <w:spacing w:after="180"/>
        <w:jc w:val="both"/>
      </w:pPr>
      <w:r>
        <w:t xml:space="preserve">dev-версії, і саме тому важливе: якщо субпідрядник занесе в наш код GPL-залежність,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2026-04-13T08:49:31.060Z</dcterms:created>
  <dcterms:modified xsi:type="dcterms:W3CDTF">2026-04-13T08:49:31.060Z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