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Legal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80"/>
        <w:jc w:val="both"/>
      </w:pPr>
      <w:r>
        <w:t xml:space="preserve">і пішов напряму".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Обмеження стосується ТІЛЬКИ клієнтів, про яких субпідрядник</w:t>
      </w:r>
    </w:p>
    <w:p>
      <w:pPr>
        <w:spacing w:after="180"/>
        <w:jc w:val="both"/>
      </w:pPr>
      <w:r>
        <w:t xml:space="preserve">дізнався в ході виконання нашого договору. Інші його клієнти — не наша справа.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Разом із Non-solicitation створює повний periметр захисту</w:t>
      </w:r>
    </w:p>
    <w:p>
      <w:pPr>
        <w:spacing w:after="180"/>
        <w:jc w:val="both"/>
      </w:pPr>
      <w:r>
        <w:t xml:space="preserve">комерційних відносин.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 ЄС і США такі обмеження мають бути **розумними за терміном</w:t>
      </w:r>
    </w:p>
    <w:p>
      <w:pPr>
        <w:spacing w:after="180"/>
        <w:jc w:val="both"/>
      </w:pPr>
      <w:r>
        <w:t xml:space="preserve">та географією**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2026-04-13T08:49:31.103Z</dcterms:created>
  <dcterms:modified xsi:type="dcterms:W3CDTF">2026-04-13T08:49:31.103Z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