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Різниця з Payment Dispute (субпідрядна версія)</w:t>
      </w:r>
    </w:p>
    <w:p>
      <w:pPr>
        <w:spacing w:after="180"/>
        <w:jc w:val="both"/>
      </w:pPr>
      <w:r>
        <w:t xml:space="preserve">Текст механічно ідентичний, але платником виступає інша сторона: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Договір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платить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оспорює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має 5 днів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 / PM / Marketing subcontract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 Agreement (клієнт)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 (Customer)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80"/>
        <w:jc w:val="both"/>
      </w:pPr>
      <w:r>
        <w:t xml:space="preserve">великих проєктах з довгим ланцюгом погоджень клієнти просять 10–15 днів. Погоджуйте.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«Вважається прийнятим» — тихе прийняття працює на нашу</w:t>
      </w:r>
    </w:p>
    <w:p>
      <w:pPr>
        <w:spacing w:after="180"/>
        <w:jc w:val="both"/>
      </w:pPr>
      <w:r>
        <w:t xml:space="preserve">користь у клієнтському договорі. Якщо клієнт не встиг оспорити — ми отримуємо гроші.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Пункт працює у парі з Late Payments Interest: спершу</w:t>
      </w:r>
    </w:p>
    <w:p>
      <w:pPr>
        <w:spacing w:after="180"/>
        <w:jc w:val="both"/>
      </w:pPr>
      <w:r>
        <w:t xml:space="preserve">5 днів 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2026-04-13T08:49:31.110Z</dcterms:created>
  <dcterms:modified xsi:type="dcterms:W3CDTF">2026-04-13T08:49:31.110Z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