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різниця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 клієнтського проєкту складніша.</w:t>
      </w:r>
      <w:r>
        <w:t xml:space="preserve"> Коли клієнт йде,</w:t>
      </w:r>
    </w:p>
    <w:p>
      <w:pPr>
        <w:spacing w:after="180"/>
        <w:jc w:val="both"/>
      </w:pPr>
      <w:r>
        <w:t xml:space="preserve">ми втрачаємо не одного виконавця, а цілий контекст: документацію, доступи, історію рішень, знання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Планування виручки.</w:t>
      </w:r>
      <w:r>
        <w:t xml:space="preserve"> Клієнтські проєкти — це наш дохід.</w:t>
      </w:r>
    </w:p>
    <w:p>
      <w:pPr>
        <w:spacing w:after="180"/>
        <w:jc w:val="both"/>
      </w:pPr>
      <w:r>
        <w:t xml:space="preserve">30 днів дають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Репутація.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«for cause»</w:t>
      </w:r>
    </w:p>
    <w:p>
      <w:pPr>
        <w:spacing w:after="180"/>
        <w:jc w:val="both"/>
      </w:pPr>
      <w:r>
        <w:t xml:space="preserve">В англо-саксонській правовій традиції at-will termination означає «без необхідності доводити, що інша сторона порушила договір».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порушенням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конкретні невиконання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судового процесу над самим фактом</w:t>
      </w:r>
    </w:p>
    <w:p>
      <w:pPr>
        <w:spacing w:after="180"/>
        <w:jc w:val="both"/>
      </w:pPr>
      <w:r>
        <w:t xml:space="preserve">розірвання</w:t>
      </w:r>
    </w:p>
    <w:p>
      <w:pPr>
        <w:spacing w:after="180"/>
        <w:jc w:val="both"/>
      </w:pPr>
      <w:r>
        <w:t xml:space="preserve">Натомість обов'язкові 30 днів попередження — це «ціна» такого простого виходу. Обидві сторони отримують передбачуваність в обмін на відсутність необхідності щось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2026-04-13T08:49:31.119Z</dcterms:created>
  <dcterms:modified xsi:type="dcterms:W3CDTF">2026-04-13T08:49:31.119Z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