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pPr>
        <w:spacing w:after="600"/>
        <w:jc w:val="center"/>
      </w:pPr>
      <w:r>
        <w:rPr>
          <w:rFonts w:ascii="Georgia" w:cs="Georgia" w:eastAsia="Georgia" w:hAnsi="Georgia"/>
          <w:b/>
          <w:bCs/>
          <w:sz w:val="48"/>
          <w:szCs w:val="48"/>
        </w:rPr>
        <w:t xml:space="preserve">Договір про обробку даних</w:t>
      </w:r>
    </w:p>
    <w:p>
      <w:pPr>
        <w:spacing w:after="120"/>
        <w:jc w:val="center"/>
      </w:pPr>
      <w:r>
        <w:rPr>
          <w:rFonts w:ascii="Georgia" w:cs="Georgia" w:eastAsia="Georgia" w:hAnsi="Georgia"/>
          <w:color w:val="8A8578"/>
          <w:sz w:val="18"/>
          <w:szCs w:val="18"/>
        </w:rPr>
        <w:t xml:space="preserve">Drafters</w:t>
      </w:r>
    </w:p>
    <w:p>
      <w:r>
        <w:r>
          <w:br w:type="page"/>
        </w:r>
      </w:r>
    </w:p>
    <w:p>
      <w:pPr>
        <w:pStyle w:val="Heading1"/>
        <w:keepNext/>
        <w:spacing w:after="180" w:before="360"/>
      </w:pPr>
      <w:r>
        <w:t xml:space="preserve">Data Processing Agreement</w:t>
      </w:r>
    </w:p>
    <w:p>
      <w:pPr>
        <w:spacing w:after="180"/>
        <w:jc w:val="both"/>
      </w:pPr>
      <w:r>
        <w:rPr>
          <w:b/>
          <w:bCs/>
        </w:rPr>
        <w:t xml:space="preserve">Effective date:</w:t>
      </w:r>
      <w:r>
        <w:t xml:space="preserve"> ___________</w:t>
      </w:r>
    </w:p>
    <w:p>
      <w:pPr>
        <w:spacing w:after="180"/>
        <w:jc w:val="both"/>
      </w:pPr>
      <w:r>
        <w:rPr>
          <w:b/>
          <w:bCs/>
        </w:rPr>
        <w:t xml:space="preserve">Under:</w:t>
      </w:r>
      <w:r>
        <w:t xml:space="preserve"> Master Services Agreement dated __________</w:t>
      </w:r>
      <w:r>
        <w:rPr>
          <w:i/>
          <w:iCs/>
        </w:rPr>
        <w:t xml:space="preserve"> between **Acme Services GmbH** ("Contractor" / "Data Processor") and </w:t>
      </w:r>
      <w:r>
        <w:t xml:space="preserve">__________ ("Customer" / "Data Controller").</w:t>
      </w:r>
    </w:p>
    <w:p>
      <w:pPr>
        <w:spacing w:after="180"/>
        <w:jc w:val="both"/>
      </w:pPr>
      <w:r>
        <w:t xml:space="preserve">This Data Processing Agreement ("DPA") forms part of the Master Services Agreement referenced above and sets out the terms under which the Contractor processes personal data on behalf of the Customer in accordance with Regulation (EU) 2016/679 ("GDPR").</w:t>
      </w:r>
    </w:p>
    <w:p>
      <w:pPr>
        <w:pStyle w:val="Heading2"/>
        <w:keepNext/>
        <w:spacing w:after="180" w:before="360"/>
      </w:pPr>
      <w:r>
        <w:t xml:space="preserve">1. Scope of Processing</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Parameter</w:t>
            </w:r>
          </w:p>
        </w:tc>
        <w:tc>
          <w:tcPr>
            <w:tcW w:type="pct" w:w="50%"/>
            <w:shd w:fill="EEE9D4" w:val="clear"/>
            <w:tcMar>
              <w:top w:type="dxa" w:w="80"/>
              <w:left w:type="dxa" w:w="120"/>
              <w:bottom w:type="dxa" w:w="80"/>
              <w:right w:type="dxa" w:w="120"/>
            </w:tcMar>
          </w:tcPr>
          <w:p>
            <w:pPr>
              <w:spacing w:after="60" w:before="60"/>
            </w:pPr>
            <w:r>
              <w:rPr>
                <w:b/>
                <w:bCs/>
                <w:sz w:val="20"/>
                <w:szCs w:val="20"/>
              </w:rPr>
              <w:t xml:space="preserve">Value</w:t>
            </w:r>
          </w:p>
        </w:tc>
      </w:tr>
      <w:tr>
        <w:tc>
          <w:tcPr>
            <w:tcW w:type="pct" w:w="50%"/>
            <w:tcMar>
              <w:top w:type="dxa" w:w="80"/>
              <w:left w:type="dxa" w:w="120"/>
              <w:bottom w:type="dxa" w:w="80"/>
              <w:right w:type="dxa" w:w="120"/>
            </w:tcMar>
          </w:tcPr>
          <w:p>
            <w:pPr>
              <w:spacing w:after="60" w:before="60"/>
            </w:pPr>
            <w:r>
              <w:rPr>
                <w:b/>
                <w:bCs/>
                <w:sz w:val="20"/>
                <w:szCs w:val="20"/>
              </w:rPr>
              <w:t xml:space="preserve">Data Controller</w:t>
            </w:r>
          </w:p>
        </w:tc>
        <w:tc>
          <w:tcPr>
            <w:tcW w:type="pct" w:w="50%"/>
            <w:tcMar>
              <w:top w:type="dxa" w:w="80"/>
              <w:left w:type="dxa" w:w="120"/>
              <w:bottom w:type="dxa" w:w="80"/>
              <w:right w:type="dxa" w:w="120"/>
            </w:tcMar>
          </w:tcPr>
          <w:p>
            <w:pPr>
              <w:spacing w:after="60" w:before="60"/>
            </w:pPr>
            <w:r>
              <w:rPr>
                <w:b w:val="false"/>
                <w:bCs w:val="false"/>
                <w:sz w:val="20"/>
                <w:szCs w:val="20"/>
              </w:rPr>
              <w:t xml:space="preserve">Customer</w:t>
            </w:r>
          </w:p>
        </w:tc>
      </w:tr>
      <w:tr>
        <w:tc>
          <w:tcPr>
            <w:tcW w:type="pct" w:w="50%"/>
            <w:tcMar>
              <w:top w:type="dxa" w:w="80"/>
              <w:left w:type="dxa" w:w="120"/>
              <w:bottom w:type="dxa" w:w="80"/>
              <w:right w:type="dxa" w:w="120"/>
            </w:tcMar>
          </w:tcPr>
          <w:p>
            <w:pPr>
              <w:spacing w:after="60" w:before="60"/>
            </w:pPr>
            <w:r>
              <w:rPr>
                <w:b/>
                <w:bCs/>
                <w:sz w:val="20"/>
                <w:szCs w:val="20"/>
              </w:rPr>
              <w:t xml:space="preserve">Data Processor</w:t>
            </w:r>
          </w:p>
        </w:tc>
        <w:tc>
          <w:tcPr>
            <w:tcW w:type="pct" w:w="50%"/>
            <w:tcMar>
              <w:top w:type="dxa" w:w="80"/>
              <w:left w:type="dxa" w:w="120"/>
              <w:bottom w:type="dxa" w:w="80"/>
              <w:right w:type="dxa" w:w="120"/>
            </w:tcMar>
          </w:tcPr>
          <w:p>
            <w:pPr>
              <w:spacing w:after="60" w:before="60"/>
            </w:pPr>
            <w:r>
              <w:rPr>
                <w:b w:val="false"/>
                <w:bCs w:val="false"/>
                <w:sz w:val="20"/>
                <w:szCs w:val="20"/>
              </w:rPr>
              <w:t xml:space="preserve">Contractor (Acme Services GmbH)</w:t>
            </w:r>
          </w:p>
        </w:tc>
      </w:tr>
      <w:tr>
        <w:tc>
          <w:tcPr>
            <w:tcW w:type="pct" w:w="50%"/>
            <w:tcMar>
              <w:top w:type="dxa" w:w="80"/>
              <w:left w:type="dxa" w:w="120"/>
              <w:bottom w:type="dxa" w:w="80"/>
              <w:right w:type="dxa" w:w="120"/>
            </w:tcMar>
          </w:tcPr>
          <w:p>
            <w:pPr>
              <w:spacing w:after="60" w:before="60"/>
            </w:pPr>
            <w:r>
              <w:rPr>
                <w:b/>
                <w:bCs/>
                <w:sz w:val="20"/>
                <w:szCs w:val="20"/>
              </w:rPr>
              <w:t xml:space="preserve">Purpose of processing</w:t>
            </w:r>
          </w:p>
        </w:tc>
        <w:tc>
          <w:tcPr>
            <w:tcW w:type="pct" w:w="50%"/>
            <w:tcMar>
              <w:top w:type="dxa" w:w="80"/>
              <w:left w:type="dxa" w:w="120"/>
              <w:bottom w:type="dxa" w:w="80"/>
              <w:right w:type="dxa" w:w="120"/>
            </w:tcMar>
          </w:tcPr>
          <w:p>
            <w:pPr>
              <w:spacing w:after="60" w:before="60"/>
            </w:pPr>
            <w:r>
              <w:rPr>
                <w:b w:val="false"/>
                <w:bCs w:val="false"/>
                <w:sz w:val="20"/>
                <w:szCs w:val="20"/>
              </w:rPr>
              <w:t xml:space="preserve">Provision of the Services described in the MSA</w:t>
            </w:r>
          </w:p>
        </w:tc>
      </w:tr>
      <w:tr>
        <w:tc>
          <w:tcPr>
            <w:tcW w:type="pct" w:w="50%"/>
            <w:tcMar>
              <w:top w:type="dxa" w:w="80"/>
              <w:left w:type="dxa" w:w="120"/>
              <w:bottom w:type="dxa" w:w="80"/>
              <w:right w:type="dxa" w:w="120"/>
            </w:tcMar>
          </w:tcPr>
          <w:p>
            <w:pPr>
              <w:spacing w:after="60" w:before="60"/>
            </w:pPr>
            <w:r>
              <w:rPr>
                <w:b/>
                <w:bCs/>
                <w:sz w:val="20"/>
                <w:szCs w:val="20"/>
              </w:rPr>
              <w:t xml:space="preserve">Categories of data subjects</w:t>
            </w:r>
          </w:p>
        </w:tc>
        <w:tc>
          <w:tcPr>
            <w:tcW w:type="pct" w:w="50%"/>
            <w:tcMar>
              <w:top w:type="dxa" w:w="80"/>
              <w:left w:type="dxa" w:w="120"/>
              <w:bottom w:type="dxa" w:w="80"/>
              <w:right w:type="dxa" w:w="120"/>
            </w:tcMar>
          </w:tcPr>
          <w:p>
            <w:pPr>
              <w:spacing w:after="60" w:before="60"/>
            </w:pPr>
            <w:r>
              <w:rPr>
                <w:b w:val="false"/>
                <w:bCs w:val="false"/>
                <w:sz w:val="20"/>
                <w:szCs w:val="20"/>
              </w:rPr>
              <w:t xml:space="preserve">As specified in Annex A</w:t>
            </w:r>
          </w:p>
        </w:tc>
      </w:tr>
      <w:tr>
        <w:tc>
          <w:tcPr>
            <w:tcW w:type="pct" w:w="50%"/>
            <w:tcMar>
              <w:top w:type="dxa" w:w="80"/>
              <w:left w:type="dxa" w:w="120"/>
              <w:bottom w:type="dxa" w:w="80"/>
              <w:right w:type="dxa" w:w="120"/>
            </w:tcMar>
          </w:tcPr>
          <w:p>
            <w:pPr>
              <w:spacing w:after="60" w:before="60"/>
            </w:pPr>
            <w:r>
              <w:rPr>
                <w:b/>
                <w:bCs/>
                <w:sz w:val="20"/>
                <w:szCs w:val="20"/>
              </w:rPr>
              <w:t xml:space="preserve">Types of personal data</w:t>
            </w:r>
          </w:p>
        </w:tc>
        <w:tc>
          <w:tcPr>
            <w:tcW w:type="pct" w:w="50%"/>
            <w:tcMar>
              <w:top w:type="dxa" w:w="80"/>
              <w:left w:type="dxa" w:w="120"/>
              <w:bottom w:type="dxa" w:w="80"/>
              <w:right w:type="dxa" w:w="120"/>
            </w:tcMar>
          </w:tcPr>
          <w:p>
            <w:pPr>
              <w:spacing w:after="60" w:before="60"/>
            </w:pPr>
            <w:r>
              <w:rPr>
                <w:b w:val="false"/>
                <w:bCs w:val="false"/>
                <w:sz w:val="20"/>
                <w:szCs w:val="20"/>
              </w:rPr>
              <w:t xml:space="preserve">As specified in Annex A</w:t>
            </w:r>
          </w:p>
        </w:tc>
      </w:tr>
      <w:tr>
        <w:tc>
          <w:tcPr>
            <w:tcW w:type="pct" w:w="50%"/>
            <w:tcMar>
              <w:top w:type="dxa" w:w="80"/>
              <w:left w:type="dxa" w:w="120"/>
              <w:bottom w:type="dxa" w:w="80"/>
              <w:right w:type="dxa" w:w="120"/>
            </w:tcMar>
          </w:tcPr>
          <w:p>
            <w:pPr>
              <w:spacing w:after="60" w:before="60"/>
            </w:pPr>
            <w:r>
              <w:rPr>
                <w:b/>
                <w:bCs/>
                <w:sz w:val="20"/>
                <w:szCs w:val="20"/>
              </w:rPr>
              <w:t xml:space="preserve">Duration of processing</w:t>
            </w:r>
          </w:p>
        </w:tc>
        <w:tc>
          <w:tcPr>
            <w:tcW w:type="pct" w:w="50%"/>
            <w:tcMar>
              <w:top w:type="dxa" w:w="80"/>
              <w:left w:type="dxa" w:w="120"/>
              <w:bottom w:type="dxa" w:w="80"/>
              <w:right w:type="dxa" w:w="120"/>
            </w:tcMar>
          </w:tcPr>
          <w:p>
            <w:pPr>
              <w:spacing w:after="60" w:before="60"/>
            </w:pPr>
            <w:r>
              <w:rPr>
                <w:b w:val="false"/>
                <w:bCs w:val="false"/>
                <w:sz w:val="20"/>
                <w:szCs w:val="20"/>
              </w:rPr>
              <w:t xml:space="preserve">For the term of the MSA, plus any retention period required by law</w:t>
            </w:r>
          </w:p>
        </w:tc>
      </w:tr>
    </w:tbl>
    <w:p>
      <w:pPr>
        <w:spacing w:after="160" w:before="0"/>
      </w:pPr>
      <w:r>
        <w:t xml:space="preserve"/>
      </w:r>
    </w:p>
    <w:p>
      <w:pPr>
        <w:pStyle w:val="Heading2"/>
        <w:keepNext/>
        <w:spacing w:after="180" w:before="360"/>
      </w:pPr>
      <w:r>
        <w:t xml:space="preserve">2. Processor Obligations</w:t>
      </w:r>
    </w:p>
    <w:p>
      <w:pPr>
        <w:spacing w:after="180"/>
        <w:jc w:val="both"/>
      </w:pPr>
      <w:r>
        <w:rPr>
          <w:b/>
          <w:bCs/>
        </w:rPr>
        <w:t xml:space="preserve">Roles.</w:t>
      </w:r>
      <w:r>
        <w:t xml:space="preserve"> For the purposes of data processing under Regulation (EU) 2016/679 ("GDPR"), the Customer is the </w:t>
      </w:r>
      <w:r>
        <w:rPr>
          <w:b/>
          <w:bCs/>
        </w:rPr>
        <w:t xml:space="preserve">Data Controller</w:t>
      </w:r>
      <w:r>
        <w:t xml:space="preserve"> and the Contractor is the </w:t>
      </w:r>
      <w:r>
        <w:rPr>
          <w:b/>
          <w:bCs/>
        </w:rPr>
        <w:t xml:space="preserve">Data Processor</w:t>
      </w:r>
      <w:r>
        <w:t xml:space="preserve">.</w:t>
      </w:r>
    </w:p>
    <w:p>
      <w:pPr>
        <w:spacing w:after="180"/>
        <w:jc w:val="both"/>
      </w:pPr>
      <w:r>
        <w:rPr>
          <w:b/>
          <w:bCs/>
        </w:rPr>
        <w:t xml:space="preserve">Processing Scope.</w:t>
      </w:r>
      <w:r>
        <w:t xml:space="preserve"> The Contractor shall process personal data only on documented instructions from the Customer, as specified in the Data Processing Agreement annex. The categories of data subjects, types of personal data, and purposes of processing are defined in that annex.</w:t>
      </w:r>
    </w:p>
    <w:p>
      <w:pPr>
        <w:spacing w:after="180"/>
        <w:jc w:val="both"/>
      </w:pPr>
      <w:r>
        <w:rPr>
          <w:b/>
          <w:bCs/>
        </w:rPr>
        <w:t xml:space="preserve">Sub-processors.</w:t>
      </w:r>
      <w:r>
        <w:t xml:space="preserve"> The Contractor may engage sub-processors only with the Customer's prior written consent. The Contractor shall maintain a list of approved sub-processors and notify the Customer at least </w:t>
      </w:r>
      <w:r>
        <w:rPr>
          <w:b/>
          <w:bCs/>
        </w:rPr>
        <w:t xml:space="preserve">thirty (30) days</w:t>
      </w:r>
      <w:r>
        <w:t xml:space="preserve"> before engaging a new sub-processor. The Customer may object within 15 days; if the objection is not resolved, either party may terminate the affected services.</w:t>
      </w:r>
    </w:p>
    <w:p>
      <w:pPr>
        <w:spacing w:after="180"/>
        <w:jc w:val="both"/>
      </w:pPr>
      <w:r>
        <w:rPr>
          <w:b/>
          <w:bCs/>
        </w:rPr>
        <w:t xml:space="preserve">Security Measures.</w:t>
      </w:r>
      <w:r>
        <w:t xml:space="preserve"> The Contractor shall implement appropriate technical and organizational measures to ensure a level of security appropriate to the risk, including as appropriate:</w:t>
      </w:r>
    </w:p>
    <w:p>
      <w:pPr>
        <w:pStyle w:val="ListParagraph"/>
        <w:numPr>
          <w:ilvl w:val="0"/>
          <w:numId w:val="1"/>
        </w:numPr>
        <w:spacing w:after="60"/>
      </w:pPr>
      <w:r>
        <w:t xml:space="preserve">pseudonymization and encryption of personal data;</w:t>
      </w:r>
    </w:p>
    <w:p>
      <w:pPr>
        <w:pStyle w:val="ListParagraph"/>
        <w:numPr>
          <w:ilvl w:val="0"/>
          <w:numId w:val="1"/>
        </w:numPr>
        <w:spacing w:after="60"/>
      </w:pPr>
      <w:r>
        <w:t xml:space="preserve">ensuring ongoing confidentiality, integrity, availability;</w:t>
      </w:r>
    </w:p>
    <w:p>
      <w:pPr>
        <w:pStyle w:val="ListParagraph"/>
        <w:numPr>
          <w:ilvl w:val="0"/>
          <w:numId w:val="1"/>
        </w:numPr>
        <w:spacing w:after="60"/>
      </w:pPr>
      <w:r>
        <w:t xml:space="preserve">regular testing and evaluation of security measures.</w:t>
      </w:r>
    </w:p>
    <w:p>
      <w:pPr>
        <w:spacing w:after="180"/>
        <w:jc w:val="both"/>
      </w:pPr>
      <w:r>
        <w:rPr>
          <w:b/>
          <w:bCs/>
        </w:rPr>
        <w:t xml:space="preserve">Breach Notification.</w:t>
      </w:r>
      <w:r>
        <w:t xml:space="preserve"> The Contractor shall notify the Customer without undue delay, and in any event within </w:t>
      </w:r>
      <w:r>
        <w:rPr>
          <w:b/>
          <w:bCs/>
        </w:rPr>
        <w:t xml:space="preserve">48 hours</w:t>
      </w:r>
      <w:r>
        <w:t xml:space="preserve">, after becoming aware of a personal data breach.</w:t>
      </w:r>
    </w:p>
    <w:p>
      <w:pPr>
        <w:spacing w:after="180"/>
        <w:jc w:val="both"/>
      </w:pPr>
      <w:r>
        <w:rPr>
          <w:b/>
          <w:bCs/>
        </w:rPr>
        <w:t xml:space="preserve">Audit Rights.</w:t>
      </w:r>
      <w:r>
        <w:t xml:space="preserve"> The Customer or its designated auditor may audit the Contractor's compliance with this clause once per calendar year, with </w:t>
      </w:r>
      <w:r>
        <w:rPr>
          <w:b/>
          <w:bCs/>
        </w:rPr>
        <w:t xml:space="preserve">thirty (30) days</w:t>
      </w:r>
      <w:r>
        <w:t xml:space="preserve"> advance written notice. The Contractor shall cooperate and provide reasonable access to relevant records and facilities.</w:t>
      </w:r>
    </w:p>
    <w:p>
      <w:pPr>
        <w:spacing w:after="180"/>
        <w:jc w:val="both"/>
      </w:pPr>
      <w:r>
        <w:rPr>
          <w:b/>
          <w:bCs/>
        </w:rPr>
        <w:t xml:space="preserve">Data Return and Deletion.</w:t>
      </w:r>
      <w:r>
        <w:t xml:space="preserve"> Upon termination of the services, the Contractor shall, at the Customer's choice, return or delete all personal data within </w:t>
      </w:r>
      <w:r>
        <w:rPr>
          <w:b/>
          <w:bCs/>
        </w:rPr>
        <w:t xml:space="preserve">thirty (30) days</w:t>
      </w:r>
      <w:r>
        <w:t xml:space="preserve">, and certify deletion in writing. This obligation does not apply to data the Contractor is required to retain under applicable law.</w:t>
      </w:r>
    </w:p>
    <w:p>
      <w:pPr>
        <w:pStyle w:val="Heading2"/>
        <w:keepNext/>
        <w:spacing w:after="180" w:before="360"/>
      </w:pPr>
      <w:r>
        <w:t xml:space="preserve">How this clause fits the broader agreement</w:t>
      </w:r>
    </w:p>
    <w:p>
      <w:pPr>
        <w:pStyle w:val="ListParagraph"/>
        <w:numPr>
          <w:ilvl w:val="0"/>
          <w:numId w:val="1"/>
        </w:numPr>
        <w:spacing w:after="60"/>
      </w:pPr>
      <w:r>
        <w:t xml:space="preserve">Sits inside the Data Processing Agreement as the core</w:t>
      </w:r>
    </w:p>
    <w:p>
      <w:pPr>
        <w:spacing w:after="180"/>
        <w:jc w:val="both"/>
      </w:pPr>
      <w:r>
        <w:t xml:space="preserve">obligation</w:t>
      </w:r>
    </w:p>
    <w:p>
      <w:pPr>
        <w:pStyle w:val="ListParagraph"/>
        <w:numPr>
          <w:ilvl w:val="0"/>
          <w:numId w:val="1"/>
        </w:numPr>
        <w:spacing w:after="60"/>
      </w:pPr>
      <w:r>
        <w:t xml:space="preserve">Complements Confidentiality Mutual (which covers all</w:t>
      </w:r>
    </w:p>
    <w:p>
      <w:pPr>
        <w:spacing w:after="180"/>
        <w:jc w:val="both"/>
      </w:pPr>
      <w:r>
        <w:t xml:space="preserve">confidential information, not just personal data)</w:t>
      </w:r>
    </w:p>
    <w:p>
      <w:pPr>
        <w:pStyle w:val="ListParagraph"/>
        <w:numPr>
          <w:ilvl w:val="0"/>
          <w:numId w:val="1"/>
        </w:numPr>
        <w:spacing w:after="60"/>
      </w:pPr>
      <w:r>
        <w:t xml:space="preserve">Interacts with Liability Limitation Mutual — note that GDPR</w:t>
      </w:r>
    </w:p>
    <w:p>
      <w:pPr>
        <w:spacing w:after="180"/>
        <w:jc w:val="both"/>
      </w:pPr>
      <w:r>
        <w:t xml:space="preserve">fines are typically excluded from liability caps as a matter of public policy</w:t>
      </w:r>
    </w:p>
    <w:p>
      <w:pPr>
        <w:pStyle w:val="Heading2"/>
        <w:keepNext/>
        <w:spacing w:after="180" w:before="360"/>
      </w:pPr>
      <w:r>
        <w:t xml:space="preserve">3. Confidentiality</w:t>
      </w:r>
    </w:p>
    <w:p>
      <w:pPr>
        <w:spacing w:after="180"/>
        <w:jc w:val="both"/>
      </w:pPr>
      <w:r>
        <w:rPr>
          <w:b/>
          <w:bCs/>
        </w:rPr>
        <w:t xml:space="preserve">Confidential Information</w:t>
      </w:r>
      <w:r>
        <w:t xml:space="preserve"> means all material, non-public, business-related information, written or oral, whether marked or not, that is disclosed or made available to the receiving party, directly or indirectly, through any means of communication or observation.</w:t>
      </w:r>
    </w:p>
    <w:p>
      <w:pPr>
        <w:spacing w:after="180"/>
        <w:jc w:val="both"/>
      </w:pPr>
      <w:r>
        <w:rPr>
          <w:b/>
          <w:bCs/>
        </w:rPr>
        <w:t xml:space="preserve">Restrictions do not apply</w:t>
      </w:r>
      <w:r>
        <w:t xml:space="preserve"> to information that, without breach of this agreement:</w:t>
      </w:r>
    </w:p>
    <w:p>
      <w:pPr>
        <w:pStyle w:val="ListParagraph"/>
        <w:numPr>
          <w:ilvl w:val="0"/>
          <w:numId w:val="1"/>
        </w:numPr>
        <w:spacing w:after="60"/>
      </w:pPr>
      <w:r>
        <w:t xml:space="preserve">is already known to the receiving party;</w:t>
      </w:r>
    </w:p>
    <w:p>
      <w:pPr>
        <w:pStyle w:val="ListParagraph"/>
        <w:numPr>
          <w:ilvl w:val="0"/>
          <w:numId w:val="1"/>
        </w:numPr>
        <w:spacing w:after="60"/>
      </w:pPr>
      <w:r>
        <w:t xml:space="preserve">is or becomes publicly known;</w:t>
      </w:r>
    </w:p>
    <w:p>
      <w:pPr>
        <w:pStyle w:val="ListParagraph"/>
        <w:numPr>
          <w:ilvl w:val="0"/>
          <w:numId w:val="1"/>
        </w:numPr>
        <w:spacing w:after="60"/>
      </w:pPr>
      <w:r>
        <w:t xml:space="preserve">is obtained from a third party without confidentiality obligations;</w:t>
      </w:r>
    </w:p>
    <w:p>
      <w:pPr>
        <w:pStyle w:val="ListParagraph"/>
        <w:numPr>
          <w:ilvl w:val="0"/>
          <w:numId w:val="1"/>
        </w:numPr>
        <w:spacing w:after="60"/>
      </w:pPr>
      <w:r>
        <w:t xml:space="preserve">is independently developed without using Confidential Information.</w:t>
      </w:r>
    </w:p>
    <w:p>
      <w:pPr>
        <w:spacing w:after="180"/>
        <w:jc w:val="both"/>
      </w:pPr>
      <w:r>
        <w:rPr>
          <w:b/>
          <w:bCs/>
        </w:rPr>
        <w:t xml:space="preserve">Burden of proof</w:t>
      </w:r>
      <w:r>
        <w:t xml:space="preserve"> for all exceptions to the Confidential Information definition rests with the receiving party.</w:t>
      </w:r>
    </w:p>
    <w:p>
      <w:pPr>
        <w:spacing w:after="180"/>
        <w:jc w:val="both"/>
      </w:pPr>
      <w:r>
        <w:rPr>
          <w:b/>
          <w:bCs/>
        </w:rPr>
        <w:t xml:space="preserve">Confidentiality obligation.</w:t>
      </w:r>
      <w:r>
        <w:t xml:space="preserve"> The receiving party will hold Confidential Information in confidence, use it only for the Purpose specified in the agreement, and exercise reasonable care to prevent loss or unauthorized disclosure.</w:t>
      </w:r>
    </w:p>
    <w:p>
      <w:pPr>
        <w:spacing w:after="180"/>
        <w:jc w:val="both"/>
      </w:pPr>
      <w:r>
        <w:rPr>
          <w:b/>
          <w:bCs/>
        </w:rPr>
        <w:t xml:space="preserve">Return or destruction.</w:t>
      </w:r>
      <w:r>
        <w:t xml:space="preserve"> On expiration or termination of the agreement, or on the disclosing party's request, the receiving party shall promptly return all Confidential Information and destroy all copies.</w:t>
      </w:r>
    </w:p>
    <w:p>
      <w:pPr>
        <w:pStyle w:val="Heading2"/>
        <w:keepNext/>
        <w:spacing w:after="180" w:before="360"/>
      </w:pPr>
      <w:r>
        <w:t xml:space="preserve">Term of confidentiality</w:t>
      </w:r>
    </w:p>
    <w:p>
      <w:pPr>
        <w:pStyle w:val="ListParagraph"/>
        <w:numPr>
          <w:ilvl w:val="0"/>
          <w:numId w:val="1"/>
        </w:numPr>
        <w:spacing w:after="60"/>
      </w:pPr>
      <w:r>
        <w:rPr>
          <w:b/>
          <w:bCs/>
        </w:rPr>
        <w:t xml:space="preserve">Trade secrets</w:t>
      </w:r>
      <w:r>
        <w:t xml:space="preserve"> — confidentiality obligation continues as</w:t>
      </w:r>
    </w:p>
    <w:p>
      <w:pPr>
        <w:spacing w:after="180"/>
        <w:jc w:val="both"/>
      </w:pPr>
      <w:r>
        <w:t xml:space="preserve">long as the information qualifies as a trade secret.</w:t>
      </w:r>
    </w:p>
    <w:p>
      <w:pPr>
        <w:pStyle w:val="ListParagraph"/>
        <w:numPr>
          <w:ilvl w:val="0"/>
          <w:numId w:val="1"/>
        </w:numPr>
        <w:spacing w:after="60"/>
      </w:pPr>
      <w:r>
        <w:rPr>
          <w:b/>
          <w:bCs/>
        </w:rPr>
        <w:t xml:space="preserve">Other Confidential Information</w:t>
      </w:r>
      <w:r>
        <w:t xml:space="preserve"> — 3 years from the</w:t>
      </w:r>
    </w:p>
    <w:p>
      <w:pPr>
        <w:spacing w:after="180"/>
        <w:jc w:val="both"/>
      </w:pPr>
      <w:r>
        <w:t xml:space="preserve">agreement's Effective Date.</w:t>
      </w:r>
    </w:p>
    <w:p>
      <w:pPr>
        <w:spacing w:after="180"/>
        <w:jc w:val="both"/>
      </w:pPr>
      <w:r>
        <w:t xml:space="preserve">The Contractor shall ensure that any person authorized to process personal data has committed to confidentiality or is under an appropriate statutory obligation of confidentiality.</w:t>
      </w:r>
    </w:p>
    <w:p>
      <w:pPr>
        <w:pStyle w:val="Heading2"/>
        <w:keepNext/>
        <w:spacing w:after="180" w:before="360"/>
      </w:pPr>
      <w:r>
        <w:t xml:space="preserve">4. Limitation of Liability</w:t>
      </w:r>
    </w:p>
    <w:p>
      <w:pPr>
        <w:spacing w:after="180"/>
        <w:jc w:val="both"/>
      </w:pPr>
      <w:r>
        <w:rPr>
          <w:b/>
          <w:bCs/>
        </w:rPr>
        <w:t xml:space="preserve">Mutual Indemnification.</w:t>
      </w:r>
      <w:r>
        <w:t xml:space="preserve"> Each party (as an indemnifying party) shall indemnify the other (as an indemnified party) against all losses arising out of:</w:t>
      </w:r>
    </w:p>
    <w:p>
      <w:pPr>
        <w:pStyle w:val="ListParagraph"/>
        <w:numPr>
          <w:ilvl w:val="0"/>
          <w:numId w:val="1"/>
        </w:numPr>
        <w:spacing w:after="60"/>
      </w:pPr>
      <w:r>
        <w:t xml:space="preserve">any proceeding brought by either a third party or an</w:t>
      </w:r>
    </w:p>
    <w:p>
      <w:pPr>
        <w:spacing w:after="180"/>
        <w:jc w:val="both"/>
      </w:pPr>
      <w:r>
        <w:t xml:space="preserve">indemnified party; and</w:t>
      </w:r>
    </w:p>
    <w:p>
      <w:pPr>
        <w:pStyle w:val="ListParagraph"/>
        <w:numPr>
          <w:ilvl w:val="0"/>
          <w:numId w:val="1"/>
        </w:numPr>
        <w:spacing w:after="60"/>
      </w:pPr>
      <w:r>
        <w:t xml:space="preserve">the indemnifying party's wilful misconduct or gross</w:t>
      </w:r>
    </w:p>
    <w:p>
      <w:pPr>
        <w:spacing w:after="180"/>
        <w:jc w:val="both"/>
      </w:pPr>
      <w:r>
        <w:t xml:space="preserve">negligence.</w:t>
      </w:r>
    </w:p>
    <w:p>
      <w:pPr>
        <w:spacing w:after="180"/>
        <w:jc w:val="both"/>
      </w:pPr>
      <w:r>
        <w:rPr>
          <w:b/>
          <w:bCs/>
        </w:rPr>
        <w:t xml:space="preserve">Mutual Limit on Liability.</w:t>
      </w:r>
      <w:r>
        <w:t xml:space="preserve"> Neither party shall be liable for breach-of-contract damages suffered by the other party that are remote or that could not have reasonably been foreseen on entry into this agreement.</w:t>
      </w:r>
    </w:p>
    <w:p>
      <w:pPr>
        <w:spacing w:after="180"/>
        <w:jc w:val="both"/>
      </w:pPr>
      <w:r>
        <w:rPr>
          <w:b/>
          <w:bCs/>
        </w:rPr>
        <w:t xml:space="preserve">Maximum Liability.</w:t>
      </w:r>
      <w:r>
        <w:t xml:space="preserve"> The Subcontractor's (or Contractor's in a client agreement) liability under this agreement shall not exceed the fees paid under this agreement during the </w:t>
      </w:r>
      <w:r>
        <w:rPr>
          <w:b/>
          <w:bCs/>
        </w:rPr>
        <w:t xml:space="preserve">12 months</w:t>
      </w:r>
      <w:r>
        <w:t xml:space="preserve"> preceding the date upon which the related claim arose.</w:t>
      </w:r>
    </w:p>
    <w:p>
      <w:pPr>
        <w:spacing w:after="180"/>
        <w:jc w:val="both"/>
      </w:pPr>
      <w:r>
        <w:rPr>
          <w:b/>
          <w:bCs/>
        </w:rPr>
        <w:t xml:space="preserve">Note:</w:t>
      </w:r>
      <w:r>
        <w:t xml:space="preserve"> The parties acknowledge that regulatory fines imposed directly on a party by a supervisory authority under GDPR are borne by that party and are not subject to the liability cap above.</w:t>
      </w:r>
    </w:p>
    <w:p>
      <w:pPr>
        <w:pStyle w:val="Heading2"/>
        <w:keepNext/>
        <w:spacing w:after="180" w:before="360"/>
      </w:pPr>
      <w:r>
        <w:t xml:space="preserve">5. Dispute Resolution</w:t>
      </w:r>
    </w:p>
    <w:p>
      <w:pPr>
        <w:spacing w:after="180"/>
        <w:jc w:val="both"/>
      </w:pPr>
      <w:r>
        <w:rPr>
          <w:b/>
          <w:bCs/>
        </w:rPr>
        <w:t xml:space="preserve">Negotiation.</w:t>
      </w:r>
      <w:r>
        <w:t xml:space="preserve"> In case of any controversy or claim arising out of this agreement, the parties shall consult and negotiate with each other and attempt to reach a mutually satisfactory solution.</w:t>
      </w:r>
    </w:p>
    <w:p>
      <w:pPr>
        <w:spacing w:after="180"/>
        <w:jc w:val="both"/>
      </w:pPr>
      <w:r>
        <w:rPr>
          <w:b/>
          <w:bCs/>
        </w:rPr>
        <w:t xml:space="preserve">Choice of forum.</w:t>
      </w:r>
      <w:r>
        <w:t xml:space="preserve"> If the parties do not reach a settlement within a period of </w:t>
      </w:r>
      <w:r>
        <w:rPr>
          <w:b/>
          <w:bCs/>
        </w:rPr>
        <w:t xml:space="preserve">60 days</w:t>
      </w:r>
      <w:r>
        <w:t xml:space="preserve">, any unresolved controversy or claim shall be settled in the </w:t>
      </w:r>
      <w:r>
        <w:rPr>
          <w:b/>
          <w:bCs/>
        </w:rPr>
        <w:t xml:space="preserve">courts of England and Wales</w:t>
      </w:r>
      <w:r>
        <w:t xml:space="preserve">.</w:t>
      </w:r>
    </w:p>
    <w:p>
      <w:pPr>
        <w:pStyle w:val="Heading2"/>
        <w:keepNext/>
        <w:spacing w:after="180" w:before="360"/>
      </w:pPr>
      <w:r>
        <w:t xml:space="preserve">6. Term and Termination</w:t>
      </w:r>
    </w:p>
    <w:p>
      <w:pPr>
        <w:spacing w:after="180"/>
        <w:jc w:val="both"/>
      </w:pPr>
      <w:r>
        <w:t xml:space="preserve">This DPA is effective for the duration of the MSA. Upon termination of the MSA, the data return and deletion obligations in Section 2 above shall apply.</w:t>
      </w:r>
    </w:p>
    <w:p>
      <w:pPr>
        <w:pStyle w:val="Heading2"/>
        <w:keepNext/>
        <w:spacing w:after="180" w:before="360"/>
      </w:pPr>
      <w:r>
        <w:t xml:space="preserve">7. Signatures</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Acme Services GmbH</w:t>
            </w:r>
            <w:r>
              <w:rPr>
                <w:b/>
                <w:bCs/>
                <w:sz w:val="20"/>
                <w:szCs w:val="20"/>
              </w:rPr>
              <w:t xml:space="preserve"> (Data Processor)</w:t>
            </w:r>
          </w:p>
        </w:tc>
        <w:tc>
          <w:tcPr>
            <w:tcW w:type="pct" w:w="50%"/>
            <w:shd w:fill="EEE9D4" w:val="clear"/>
            <w:tcMar>
              <w:top w:type="dxa" w:w="80"/>
              <w:left w:type="dxa" w:w="120"/>
              <w:bottom w:type="dxa" w:w="80"/>
              <w:right w:type="dxa" w:w="120"/>
            </w:tcMar>
          </w:tcPr>
          <w:p>
            <w:pPr>
              <w:spacing w:after="60" w:before="60"/>
            </w:pPr>
            <w:r>
              <w:rPr>
                <w:b/>
                <w:bCs/>
                <w:sz w:val="20"/>
                <w:szCs w:val="20"/>
              </w:rPr>
              <w:t xml:space="preserve">Customer</w:t>
            </w:r>
            <w:r>
              <w:rPr>
                <w:b/>
                <w:bCs/>
                <w:sz w:val="20"/>
                <w:szCs w:val="20"/>
              </w:rPr>
              <w:t xml:space="preserve"> (Data Controller)</w:t>
            </w:r>
          </w:p>
        </w:tc>
      </w:tr>
      <w:tr>
        <w:tc>
          <w:tcPr>
            <w:tcW w:type="pct" w:w="50%"/>
            <w:tcMar>
              <w:top w:type="dxa" w:w="80"/>
              <w:left w:type="dxa" w:w="120"/>
              <w:bottom w:type="dxa" w:w="80"/>
              <w:right w:type="dxa" w:w="120"/>
            </w:tcMar>
          </w:tcPr>
          <w:p>
            <w:pPr>
              <w:spacing w:after="60" w:before="60"/>
            </w:pPr>
            <w:r>
              <w:rPr>
                <w:b/>
                <w:bCs/>
                <w:sz w:val="20"/>
                <w:szCs w:val="20"/>
              </w:rPr>
              <w:t xml:space="preserve">Signature:</w:t>
            </w:r>
            <w:r>
              <w:rPr>
                <w:b w:val="false"/>
                <w:bCs w:val="false"/>
                <w:sz w:val="20"/>
                <w:szCs w:val="20"/>
              </w:rPr>
              <w:t xml:space="preserve"> ___________</w:t>
            </w:r>
          </w:p>
        </w:tc>
        <w:tc>
          <w:tcPr>
            <w:tcW w:type="pct" w:w="50%"/>
            <w:tcMar>
              <w:top w:type="dxa" w:w="80"/>
              <w:left w:type="dxa" w:w="120"/>
              <w:bottom w:type="dxa" w:w="80"/>
              <w:right w:type="dxa" w:w="120"/>
            </w:tcMar>
          </w:tcPr>
          <w:p>
            <w:pPr>
              <w:spacing w:after="60" w:before="60"/>
            </w:pPr>
            <w:r>
              <w:rPr>
                <w:b/>
                <w:bCs/>
                <w:sz w:val="20"/>
                <w:szCs w:val="20"/>
              </w:rPr>
              <w:t xml:space="preserve">Signature:</w:t>
            </w:r>
            <w:r>
              <w:rPr>
                <w:b w:val="false"/>
                <w:bCs w:val="false"/>
                <w:sz w:val="20"/>
                <w:szCs w:val="20"/>
              </w:rPr>
              <w:t xml:space="preserve"> ___________</w:t>
            </w:r>
          </w:p>
        </w:tc>
      </w:tr>
      <w:tr>
        <w:tc>
          <w:tcPr>
            <w:tcW w:type="pct" w:w="50%"/>
            <w:tcMar>
              <w:top w:type="dxa" w:w="80"/>
              <w:left w:type="dxa" w:w="120"/>
              <w:bottom w:type="dxa" w:w="80"/>
              <w:right w:type="dxa" w:w="120"/>
            </w:tcMar>
          </w:tcPr>
          <w:p>
            <w:pPr>
              <w:spacing w:after="60" w:before="60"/>
            </w:pPr>
            <w:r>
              <w:rPr>
                <w:b/>
                <w:bCs/>
                <w:sz w:val="20"/>
                <w:szCs w:val="20"/>
              </w:rPr>
              <w:t xml:space="preserve">[Director Name], Director</w:t>
            </w:r>
          </w:p>
        </w:tc>
        <w:tc>
          <w:tcPr>
            <w:tcW w:type="pct" w:w="50%"/>
            <w:tcMar>
              <w:top w:type="dxa" w:w="80"/>
              <w:left w:type="dxa" w:w="120"/>
              <w:bottom w:type="dxa" w:w="80"/>
              <w:right w:type="dxa" w:w="120"/>
            </w:tcMar>
          </w:tcPr>
          <w:p>
            <w:pPr>
              <w:spacing w:after="60" w:before="60"/>
            </w:pPr>
            <w:r>
              <w:rPr>
                <w:b w:val="false"/>
                <w:bCs w:val="false"/>
                <w:sz w:val="20"/>
                <w:szCs w:val="20"/>
              </w:rPr>
              <w:t xml:space="preserve">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Date: ___________</w:t>
            </w:r>
          </w:p>
        </w:tc>
        <w:tc>
          <w:tcPr>
            <w:tcW w:type="pct" w:w="50%"/>
            <w:tcMar>
              <w:top w:type="dxa" w:w="80"/>
              <w:left w:type="dxa" w:w="120"/>
              <w:bottom w:type="dxa" w:w="80"/>
              <w:right w:type="dxa" w:w="120"/>
            </w:tcMar>
          </w:tcPr>
          <w:p>
            <w:pPr>
              <w:spacing w:after="60" w:before="60"/>
            </w:pPr>
            <w:r>
              <w:rPr>
                <w:b w:val="false"/>
                <w:bCs w:val="false"/>
                <w:sz w:val="20"/>
                <w:szCs w:val="20"/>
              </w:rPr>
              <w:t xml:space="preserve">Date: ___________</w:t>
            </w:r>
          </w:p>
        </w:tc>
      </w:tr>
    </w:tbl>
    <w:p>
      <w:pPr>
        <w:spacing w:after="160" w:before="0"/>
      </w:pPr>
      <w:r>
        <w:t xml:space="preserve"/>
      </w:r>
    </w:p>
    <w:p>
      <w:pPr>
        <w:pBdr>
          <w:bottom w:val="single" w:color="CCCCCC" w:sz="6" w:space="1"/>
        </w:pBdr>
        <w:spacing w:after="200" w:before="200"/>
      </w:pPr>
      <w:r>
        <w:t xml:space="preserve"/>
      </w:r>
    </w:p>
    <w:p>
      <w:pPr>
        <w:pStyle w:val="Heading2"/>
        <w:keepNext/>
        <w:spacing w:after="180" w:before="360"/>
      </w:pPr>
      <w:r>
        <w:t xml:space="preserve">Annex A — Details of Processing</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Field</w:t>
            </w:r>
          </w:p>
        </w:tc>
        <w:tc>
          <w:tcPr>
            <w:tcW w:type="pct" w:w="50%"/>
            <w:shd w:fill="EEE9D4" w:val="clear"/>
            <w:tcMar>
              <w:top w:type="dxa" w:w="80"/>
              <w:left w:type="dxa" w:w="120"/>
              <w:bottom w:type="dxa" w:w="80"/>
              <w:right w:type="dxa" w:w="120"/>
            </w:tcMar>
          </w:tcPr>
          <w:p>
            <w:pPr>
              <w:spacing w:after="60" w:before="60"/>
            </w:pPr>
            <w:r>
              <w:rPr>
                <w:b/>
                <w:bCs/>
                <w:sz w:val="20"/>
                <w:szCs w:val="20"/>
              </w:rPr>
              <w:t xml:space="preserve">Description</w:t>
            </w:r>
          </w:p>
        </w:tc>
      </w:tr>
      <w:tr>
        <w:tc>
          <w:tcPr>
            <w:tcW w:type="pct" w:w="50%"/>
            <w:tcMar>
              <w:top w:type="dxa" w:w="80"/>
              <w:left w:type="dxa" w:w="120"/>
              <w:bottom w:type="dxa" w:w="80"/>
              <w:right w:type="dxa" w:w="120"/>
            </w:tcMar>
          </w:tcPr>
          <w:p>
            <w:pPr>
              <w:spacing w:after="60" w:before="60"/>
            </w:pPr>
            <w:r>
              <w:rPr>
                <w:b/>
                <w:bCs/>
                <w:sz w:val="20"/>
                <w:szCs w:val="20"/>
              </w:rPr>
              <w:t xml:space="preserve">Categories of data subjects</w:t>
            </w:r>
          </w:p>
        </w:tc>
        <w:tc>
          <w:tcPr>
            <w:tcW w:type="pct" w:w="50%"/>
            <w:tcMar>
              <w:top w:type="dxa" w:w="80"/>
              <w:left w:type="dxa" w:w="120"/>
              <w:bottom w:type="dxa" w:w="80"/>
              <w:right w:type="dxa" w:w="120"/>
            </w:tcMar>
          </w:tcPr>
          <w:p>
            <w:pPr>
              <w:spacing w:after="60" w:before="60"/>
            </w:pPr>
            <w:r>
              <w:rPr>
                <w:b w:val="false"/>
                <w:bCs w:val="false"/>
                <w:i/>
                <w:iCs/>
                <w:sz w:val="20"/>
                <w:szCs w:val="20"/>
              </w:rPr>
              <w:t xml:space="preserve">[e.g., Customer's employees, Customer's end-users, Customer's clients]</w:t>
            </w:r>
          </w:p>
        </w:tc>
      </w:tr>
      <w:tr>
        <w:tc>
          <w:tcPr>
            <w:tcW w:type="pct" w:w="50%"/>
            <w:tcMar>
              <w:top w:type="dxa" w:w="80"/>
              <w:left w:type="dxa" w:w="120"/>
              <w:bottom w:type="dxa" w:w="80"/>
              <w:right w:type="dxa" w:w="120"/>
            </w:tcMar>
          </w:tcPr>
          <w:p>
            <w:pPr>
              <w:spacing w:after="60" w:before="60"/>
            </w:pPr>
            <w:r>
              <w:rPr>
                <w:b/>
                <w:bCs/>
                <w:sz w:val="20"/>
                <w:szCs w:val="20"/>
              </w:rPr>
              <w:t xml:space="preserve">Types of personal data</w:t>
            </w:r>
          </w:p>
        </w:tc>
        <w:tc>
          <w:tcPr>
            <w:tcW w:type="pct" w:w="50%"/>
            <w:tcMar>
              <w:top w:type="dxa" w:w="80"/>
              <w:left w:type="dxa" w:w="120"/>
              <w:bottom w:type="dxa" w:w="80"/>
              <w:right w:type="dxa" w:w="120"/>
            </w:tcMar>
          </w:tcPr>
          <w:p>
            <w:pPr>
              <w:spacing w:after="60" w:before="60"/>
            </w:pPr>
            <w:r>
              <w:rPr>
                <w:b w:val="false"/>
                <w:bCs w:val="false"/>
                <w:i/>
                <w:iCs/>
                <w:sz w:val="20"/>
                <w:szCs w:val="20"/>
              </w:rPr>
              <w:t xml:space="preserve">[e.g., name, email address, IP address, usage data, location data]</w:t>
            </w:r>
          </w:p>
        </w:tc>
      </w:tr>
      <w:tr>
        <w:tc>
          <w:tcPr>
            <w:tcW w:type="pct" w:w="50%"/>
            <w:tcMar>
              <w:top w:type="dxa" w:w="80"/>
              <w:left w:type="dxa" w:w="120"/>
              <w:bottom w:type="dxa" w:w="80"/>
              <w:right w:type="dxa" w:w="120"/>
            </w:tcMar>
          </w:tcPr>
          <w:p>
            <w:pPr>
              <w:spacing w:after="60" w:before="60"/>
            </w:pPr>
            <w:r>
              <w:rPr>
                <w:b/>
                <w:bCs/>
                <w:sz w:val="20"/>
                <w:szCs w:val="20"/>
              </w:rPr>
              <w:t xml:space="preserve">Special categories of data</w:t>
            </w:r>
          </w:p>
        </w:tc>
        <w:tc>
          <w:tcPr>
            <w:tcW w:type="pct" w:w="50%"/>
            <w:tcMar>
              <w:top w:type="dxa" w:w="80"/>
              <w:left w:type="dxa" w:w="120"/>
              <w:bottom w:type="dxa" w:w="80"/>
              <w:right w:type="dxa" w:w="120"/>
            </w:tcMar>
          </w:tcPr>
          <w:p>
            <w:pPr>
              <w:spacing w:after="60" w:before="60"/>
            </w:pPr>
            <w:r>
              <w:rPr>
                <w:b w:val="false"/>
                <w:bCs w:val="false"/>
                <w:i/>
                <w:iCs/>
                <w:sz w:val="20"/>
                <w:szCs w:val="20"/>
              </w:rPr>
              <w:t xml:space="preserve">[e.g., None / Health data / Biometric data — specify if applicable]</w:t>
            </w:r>
          </w:p>
        </w:tc>
      </w:tr>
      <w:tr>
        <w:tc>
          <w:tcPr>
            <w:tcW w:type="pct" w:w="50%"/>
            <w:tcMar>
              <w:top w:type="dxa" w:w="80"/>
              <w:left w:type="dxa" w:w="120"/>
              <w:bottom w:type="dxa" w:w="80"/>
              <w:right w:type="dxa" w:w="120"/>
            </w:tcMar>
          </w:tcPr>
          <w:p>
            <w:pPr>
              <w:spacing w:after="60" w:before="60"/>
            </w:pPr>
            <w:r>
              <w:rPr>
                <w:b/>
                <w:bCs/>
                <w:sz w:val="20"/>
                <w:szCs w:val="20"/>
              </w:rPr>
              <w:t xml:space="preserve">Processing operations</w:t>
            </w:r>
          </w:p>
        </w:tc>
        <w:tc>
          <w:tcPr>
            <w:tcW w:type="pct" w:w="50%"/>
            <w:tcMar>
              <w:top w:type="dxa" w:w="80"/>
              <w:left w:type="dxa" w:w="120"/>
              <w:bottom w:type="dxa" w:w="80"/>
              <w:right w:type="dxa" w:w="120"/>
            </w:tcMar>
          </w:tcPr>
          <w:p>
            <w:pPr>
              <w:spacing w:after="60" w:before="60"/>
            </w:pPr>
            <w:r>
              <w:rPr>
                <w:b w:val="false"/>
                <w:bCs w:val="false"/>
                <w:i/>
                <w:iCs/>
                <w:sz w:val="20"/>
                <w:szCs w:val="20"/>
              </w:rPr>
              <w:t xml:space="preserve">[e.g., storage, analysis, display, transmission, deletion]</w:t>
            </w:r>
          </w:p>
        </w:tc>
      </w:tr>
      <w:tr>
        <w:tc>
          <w:tcPr>
            <w:tcW w:type="pct" w:w="50%"/>
            <w:tcMar>
              <w:top w:type="dxa" w:w="80"/>
              <w:left w:type="dxa" w:w="120"/>
              <w:bottom w:type="dxa" w:w="80"/>
              <w:right w:type="dxa" w:w="120"/>
            </w:tcMar>
          </w:tcPr>
          <w:p>
            <w:pPr>
              <w:spacing w:after="60" w:before="60"/>
            </w:pPr>
            <w:r>
              <w:rPr>
                <w:b/>
                <w:bCs/>
                <w:sz w:val="20"/>
                <w:szCs w:val="20"/>
              </w:rPr>
              <w:t xml:space="preserve">Location of processing</w:t>
            </w:r>
          </w:p>
        </w:tc>
        <w:tc>
          <w:tcPr>
            <w:tcW w:type="pct" w:w="50%"/>
            <w:tcMar>
              <w:top w:type="dxa" w:w="80"/>
              <w:left w:type="dxa" w:w="120"/>
              <w:bottom w:type="dxa" w:w="80"/>
              <w:right w:type="dxa" w:w="120"/>
            </w:tcMar>
          </w:tcPr>
          <w:p>
            <w:pPr>
              <w:spacing w:after="60" w:before="60"/>
            </w:pPr>
            <w:r>
              <w:rPr>
                <w:b w:val="false"/>
                <w:bCs w:val="false"/>
                <w:i/>
                <w:iCs/>
                <w:sz w:val="20"/>
                <w:szCs w:val="20"/>
              </w:rPr>
              <w:t xml:space="preserve">[e.g., EU (Germany, Ukraine) / specific cloud regions]</w:t>
            </w:r>
          </w:p>
        </w:tc>
      </w:tr>
    </w:tbl>
    <w:p>
      <w:pPr>
        <w:spacing w:after="160" w:before="0"/>
      </w:pPr>
      <w:r>
        <w:t xml:space="preserve"/>
      </w:r>
    </w:p>
    <w:p>
      <w:pPr>
        <w:pStyle w:val="Heading2"/>
        <w:keepNext/>
        <w:spacing w:after="180" w:before="360"/>
      </w:pPr>
      <w:r>
        <w:t xml:space="preserve">Annex B — Approved Sub-processors</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Sub-processor</w:t>
            </w:r>
          </w:p>
        </w:tc>
        <w:tc>
          <w:tcPr>
            <w:tcW w:type="pct" w:w="50%"/>
            <w:shd w:fill="EEE9D4" w:val="clear"/>
            <w:tcMar>
              <w:top w:type="dxa" w:w="80"/>
              <w:left w:type="dxa" w:w="120"/>
              <w:bottom w:type="dxa" w:w="80"/>
              <w:right w:type="dxa" w:w="120"/>
            </w:tcMar>
          </w:tcPr>
          <w:p>
            <w:pPr>
              <w:spacing w:after="60" w:before="60"/>
            </w:pPr>
            <w:r>
              <w:rPr>
                <w:b/>
                <w:bCs/>
                <w:sz w:val="20"/>
                <w:szCs w:val="20"/>
              </w:rPr>
              <w:t xml:space="preserve">Purpose</w:t>
            </w:r>
          </w:p>
        </w:tc>
        <w:tc>
          <w:tcPr>
            <w:tcW w:type="pct" w:w="50%"/>
            <w:shd w:fill="EEE9D4" w:val="clear"/>
            <w:tcMar>
              <w:top w:type="dxa" w:w="80"/>
              <w:left w:type="dxa" w:w="120"/>
              <w:bottom w:type="dxa" w:w="80"/>
              <w:right w:type="dxa" w:w="120"/>
            </w:tcMar>
          </w:tcPr>
          <w:p>
            <w:pPr>
              <w:spacing w:after="60" w:before="60"/>
            </w:pPr>
            <w:r>
              <w:rPr>
                <w:b/>
                <w:bCs/>
                <w:sz w:val="20"/>
                <w:szCs w:val="20"/>
              </w:rPr>
              <w:t xml:space="preserve">Location</w:t>
            </w:r>
          </w:p>
        </w:tc>
      </w:tr>
      <w:tr>
        <w:tc>
          <w:tcPr>
            <w:tcW w:type="pct" w:w="50%"/>
            <w:tcMar>
              <w:top w:type="dxa" w:w="80"/>
              <w:left w:type="dxa" w:w="120"/>
              <w:bottom w:type="dxa" w:w="80"/>
              <w:right w:type="dxa" w:w="120"/>
            </w:tcMar>
          </w:tcPr>
          <w:p>
            <w:pPr>
              <w:spacing w:after="60" w:before="60"/>
            </w:pPr>
            <w:r>
              <w:rPr>
                <w:b w:val="false"/>
                <w:bCs w:val="false"/>
                <w:i/>
                <w:iCs/>
                <w:sz w:val="20"/>
                <w:szCs w:val="20"/>
              </w:rPr>
              <w:t xml:space="preserve">[e.g., AWS]</w:t>
            </w:r>
          </w:p>
        </w:tc>
        <w:tc>
          <w:tcPr>
            <w:tcW w:type="pct" w:w="50%"/>
            <w:tcMar>
              <w:top w:type="dxa" w:w="80"/>
              <w:left w:type="dxa" w:w="120"/>
              <w:bottom w:type="dxa" w:w="80"/>
              <w:right w:type="dxa" w:w="120"/>
            </w:tcMar>
          </w:tcPr>
          <w:p>
            <w:pPr>
              <w:spacing w:after="60" w:before="60"/>
            </w:pPr>
            <w:r>
              <w:rPr>
                <w:b w:val="false"/>
                <w:bCs w:val="false"/>
                <w:i/>
                <w:iCs/>
                <w:sz w:val="20"/>
                <w:szCs w:val="20"/>
              </w:rPr>
              <w:t xml:space="preserve">[Cloud hosting]</w:t>
            </w:r>
          </w:p>
        </w:tc>
        <w:tc>
          <w:tcPr>
            <w:tcW w:type="pct" w:w="50%"/>
            <w:tcMar>
              <w:top w:type="dxa" w:w="80"/>
              <w:left w:type="dxa" w:w="120"/>
              <w:bottom w:type="dxa" w:w="80"/>
              <w:right w:type="dxa" w:w="120"/>
            </w:tcMar>
          </w:tcPr>
          <w:p>
            <w:pPr>
              <w:spacing w:after="60" w:before="60"/>
            </w:pPr>
            <w:r>
              <w:rPr>
                <w:b w:val="false"/>
                <w:bCs w:val="false"/>
                <w:i/>
                <w:iCs/>
                <w:sz w:val="20"/>
                <w:szCs w:val="20"/>
              </w:rPr>
              <w:t xml:space="preserve">[EU — Frankfurt]</w:t>
            </w:r>
          </w:p>
        </w:tc>
      </w:tr>
      <w:tr>
        <w:tc>
          <w:tcPr>
            <w:tcW w:type="pct" w:w="50%"/>
            <w:tcMar>
              <w:top w:type="dxa" w:w="80"/>
              <w:left w:type="dxa" w:w="120"/>
              <w:bottom w:type="dxa" w:w="80"/>
              <w:right w:type="dxa" w:w="120"/>
            </w:tcMar>
          </w:tcPr>
          <w:p>
            <w:pPr>
              <w:spacing w:after="60" w:before="60"/>
            </w:pPr>
            <w:r>
              <w:rPr>
                <w:b w:val="false"/>
                <w:bCs w:val="false"/>
                <w:i/>
                <w:iCs/>
                <w:sz w:val="20"/>
                <w:szCs w:val="20"/>
              </w:rPr>
              <w:t xml:space="preserve">[e.g., Sentry]</w:t>
            </w:r>
          </w:p>
        </w:tc>
        <w:tc>
          <w:tcPr>
            <w:tcW w:type="pct" w:w="50%"/>
            <w:tcMar>
              <w:top w:type="dxa" w:w="80"/>
              <w:left w:type="dxa" w:w="120"/>
              <w:bottom w:type="dxa" w:w="80"/>
              <w:right w:type="dxa" w:w="120"/>
            </w:tcMar>
          </w:tcPr>
          <w:p>
            <w:pPr>
              <w:spacing w:after="60" w:before="60"/>
            </w:pPr>
            <w:r>
              <w:rPr>
                <w:b w:val="false"/>
                <w:bCs w:val="false"/>
                <w:i/>
                <w:iCs/>
                <w:sz w:val="20"/>
                <w:szCs w:val="20"/>
              </w:rPr>
              <w:t xml:space="preserve">[Error tracking]</w:t>
            </w:r>
          </w:p>
        </w:tc>
        <w:tc>
          <w:tcPr>
            <w:tcW w:type="pct" w:w="50%"/>
            <w:tcMar>
              <w:top w:type="dxa" w:w="80"/>
              <w:left w:type="dxa" w:w="120"/>
              <w:bottom w:type="dxa" w:w="80"/>
              <w:right w:type="dxa" w:w="120"/>
            </w:tcMar>
          </w:tcPr>
          <w:p>
            <w:pPr>
              <w:spacing w:after="60" w:before="60"/>
            </w:pPr>
            <w:r>
              <w:rPr>
                <w:b w:val="false"/>
                <w:bCs w:val="false"/>
                <w:i/>
                <w:iCs/>
                <w:sz w:val="20"/>
                <w:szCs w:val="20"/>
              </w:rPr>
              <w:t xml:space="preserve">[EU]</w:t>
            </w:r>
          </w:p>
        </w:tc>
      </w:tr>
      <w:tr>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bl>
    <w:p>
      <w:pPr>
        <w:spacing w:after="160" w:before="0"/>
      </w:pPr>
      <w:r>
        <w:t xml:space="preserve"/>
      </w:r>
    </w:p>
    <w:p>
      <w:pPr>
        <w:pStyle w:val="Heading2"/>
        <w:keepNext/>
        <w:spacing w:after="180" w:before="360"/>
      </w:pPr>
      <w:r>
        <w:t xml:space="preserve">Annex C — Technical and Organizational Measures</w:t>
      </w:r>
    </w:p>
    <w:p>
      <w:pPr>
        <w:spacing w:after="180"/>
        <w:jc w:val="both"/>
      </w:pPr>
      <w:r>
        <w:rPr>
          <w:i/>
          <w:iCs/>
        </w:rPr>
        <w:t xml:space="preserve">[List the security measures the Contractor has in place. Examples:]</w:t>
      </w:r>
    </w:p>
    <w:p>
      <w:pPr>
        <w:pStyle w:val="ListParagraph"/>
        <w:numPr>
          <w:ilvl w:val="0"/>
          <w:numId w:val="2"/>
        </w:numPr>
        <w:spacing w:after="60"/>
      </w:pPr>
      <w:r>
        <w:rPr>
          <w:b/>
          <w:bCs/>
        </w:rPr>
        <w:t xml:space="preserve">Encryption:</w:t>
      </w:r>
      <w:r>
        <w:t xml:space="preserve"> Data at rest encrypted with AES-256; data in transit encrypted with TLS 1.2+.</w:t>
      </w:r>
    </w:p>
    <w:p>
      <w:pPr>
        <w:pStyle w:val="ListParagraph"/>
        <w:numPr>
          <w:ilvl w:val="0"/>
          <w:numId w:val="2"/>
        </w:numPr>
        <w:spacing w:after="60"/>
      </w:pPr>
      <w:r>
        <w:rPr>
          <w:b/>
          <w:bCs/>
        </w:rPr>
        <w:t xml:space="preserve">Access control:</w:t>
      </w:r>
      <w:r>
        <w:t xml:space="preserve"> Role-based access; multi-factor authentication for all systems handling personal data.</w:t>
      </w:r>
    </w:p>
    <w:p>
      <w:pPr>
        <w:pStyle w:val="ListParagraph"/>
        <w:numPr>
          <w:ilvl w:val="0"/>
          <w:numId w:val="2"/>
        </w:numPr>
        <w:spacing w:after="60"/>
      </w:pPr>
      <w:r>
        <w:rPr>
          <w:b/>
          <w:bCs/>
        </w:rPr>
        <w:t xml:space="preserve">Logging:</w:t>
      </w:r>
      <w:r>
        <w:t xml:space="preserve"> Access logs retained for 12 months; reviewed quarterly.</w:t>
      </w:r>
    </w:p>
    <w:p>
      <w:pPr>
        <w:pStyle w:val="ListParagraph"/>
        <w:numPr>
          <w:ilvl w:val="0"/>
          <w:numId w:val="2"/>
        </w:numPr>
        <w:spacing w:after="60"/>
      </w:pPr>
      <w:r>
        <w:rPr>
          <w:b/>
          <w:bCs/>
        </w:rPr>
        <w:t xml:space="preserve">Backups:</w:t>
      </w:r>
      <w:r>
        <w:t xml:space="preserve"> Daily automated backups with 30-day retention; encrypted and stored in a separate region.</w:t>
      </w:r>
    </w:p>
    <w:p>
      <w:pPr>
        <w:pStyle w:val="ListParagraph"/>
        <w:numPr>
          <w:ilvl w:val="0"/>
          <w:numId w:val="2"/>
        </w:numPr>
        <w:spacing w:after="60"/>
      </w:pPr>
      <w:r>
        <w:rPr>
          <w:b/>
          <w:bCs/>
        </w:rPr>
        <w:t xml:space="preserve">Incident response:</w:t>
      </w:r>
      <w:r>
        <w:t xml:space="preserve"> Documented incident response procedure; tested annually.</w:t>
      </w:r>
    </w:p>
    <w:p>
      <w:pPr>
        <w:pStyle w:val="ListParagraph"/>
        <w:numPr>
          <w:ilvl w:val="0"/>
          <w:numId w:val="2"/>
        </w:numPr>
        <w:spacing w:after="60"/>
      </w:pPr>
      <w:r>
        <w:rPr>
          <w:b/>
          <w:bCs/>
        </w:rPr>
        <w:t xml:space="preserve">Employee training:</w:t>
      </w:r>
      <w:r>
        <w:t xml:space="preserve"> Annual data protection training for all personnel processing personal data.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8578"/>
        <w:sz w:val="16"/>
        <w:szCs w:val="16"/>
      </w:rPr>
      <w:t xml:space="preserve">Drafters · </w:t>
    </w:r>
    <w:r>
      <w:rPr>
        <w:color w:val="8A8578"/>
        <w:sz w:val="16"/>
        <w:szCs w:val="16"/>
      </w:rPr>
      <w:fldChar w:fldCharType="begin"/>
      <w:instrText xml:space="preserve">PAGE</w:instrText>
      <w:fldChar w:fldCharType="separate"/>
      <w:fldChar w:fldCharType="end"/>
    </w:r>
    <w:r>
      <w:rPr>
        <w:color w:val="8A8578"/>
        <w:sz w:val="16"/>
        <w:szCs w:val="16"/>
      </w:rPr>
      <w:t xml:space="preserve"> / </w:t>
    </w:r>
    <w:r>
      <w:rPr>
        <w:color w:val="8A85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8A8578"/>
        <w:sz w:val="16"/>
        <w:szCs w:val="16"/>
      </w:rPr>
      <w:t xml:space="preserve">Договір про обробку даних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Georgia" w:cs="Georgia" w:eastAsia="Georgia" w:hAnsi="Georgia"/>
      <w:b/>
      <w:bCs/>
      <w:sz w:val="32"/>
      <w:szCs w:val="32"/>
    </w:rPr>
  </w:style>
  <w:style w:type="paragraph" w:styleId="Heading2">
    <w:name w:val="Heading 2"/>
    <w:basedOn w:val="Normal"/>
    <w:next w:val="Normal"/>
    <w:qFormat/>
    <w:pPr>
      <w:spacing w:after="160" w:before="320"/>
    </w:pPr>
    <w:rPr>
      <w:rFonts w:ascii="Georgia" w:cs="Georgia" w:eastAsia="Georgia" w:hAnsi="Georgia"/>
      <w:b/>
      <w:bCs/>
      <w:sz w:val="26"/>
      <w:szCs w:val="26"/>
    </w:rPr>
  </w:style>
  <w:style w:type="paragraph" w:styleId="Heading3">
    <w:name w:val="Heading 3"/>
    <w:basedOn w:val="Normal"/>
    <w:next w:val="Normal"/>
    <w:qFormat/>
    <w:pPr>
      <w:spacing w:after="120" w:before="240"/>
    </w:pPr>
    <w:rPr>
      <w:rFonts w:ascii="Georgia" w:cs="Georgia" w:eastAsia="Georgia" w:hAnsi="Georgia"/>
      <w:b/>
      <w:b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Договір про обробку даних</dc:title>
  <dc:creator>Drafters</dc:creator>
  <dc:description>Exported from Drafters — Договір про обробку даних</dc:description>
  <cp:lastModifiedBy>Un-named</cp:lastModifiedBy>
  <cp:revision>1</cp:revision>
  <dcterms:created xsi:type="dcterms:W3CDTF">2026-04-13T08:49:30.641Z</dcterms:created>
  <dcterms:modified xsi:type="dcterms:W3CDTF">2026-04-13T08:49:30.641Z</dcterms:modified>
</cp:coreProperties>
</file>

<file path=docProps/custom.xml><?xml version="1.0" encoding="utf-8"?>
<Properties xmlns="http://schemas.openxmlformats.org/officeDocument/2006/custom-properties" xmlns:vt="http://schemas.openxmlformats.org/officeDocument/2006/docPropsVTypes"/>
</file>