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виділеної команди</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Dedicated Team Agreement</w:t>
      </w:r>
    </w:p>
    <w:p>
      <w:pPr>
        <w:spacing w:after="180"/>
        <w:jc w:val="both"/>
      </w:pPr>
      <w:r>
        <w:rPr>
          <w:b/>
          <w:bCs/>
        </w:rPr>
        <w:t xml:space="preserve">Start date:</w:t>
      </w:r>
      <w:r>
        <w:t xml:space="preserve"> ___________</w:t>
      </w:r>
    </w:p>
    <w:p>
      <w:pPr>
        <w:spacing w:after="180"/>
        <w:jc w:val="both"/>
      </w:pPr>
      <w:r>
        <w:rPr>
          <w:b/>
          <w:bCs/>
        </w:rPr>
        <w:t xml:space="preserve">Contractor:</w:t>
      </w:r>
      <w:r>
        <w:t xml:space="preserve"> </w:t>
      </w:r>
      <w:r>
        <w:rPr>
          <w:b/>
          <w:bCs/>
        </w:rPr>
        <w:t xml:space="preserve">Acme Services GmbH</w:t>
      </w:r>
      <w:r>
        <w:t xml:space="preserve">, a company incorporated under the laws of the Federal Republic of Germany, Registry code </w:t>
      </w:r>
      <w:r>
        <w:rPr>
          <w:b/>
          <w:bCs/>
        </w:rPr>
        <w:t xml:space="preserve">HRB123456X</w:t>
      </w:r>
      <w:r>
        <w:t xml:space="preserve">, VAT ID </w:t>
      </w:r>
      <w:r>
        <w:rPr>
          <w:b/>
          <w:bCs/>
        </w:rPr>
        <w:t xml:space="preserve">DE999888777</w:t>
      </w:r>
      <w:r>
        <w:t xml:space="preserve">, with its registered address at Musterstraße 1, Berlin, 10115, Germany, represented by its Director [Director Name] (hereinafter the "</w:t>
      </w:r>
      <w:r>
        <w:rPr>
          <w:b/>
          <w:bCs/>
        </w:rPr>
        <w:t xml:space="preserve">Contractor</w:t>
      </w:r>
      <w:r>
        <w:t xml:space="preserve">").</w:t>
      </w:r>
    </w:p>
    <w:p>
      <w:pPr>
        <w:spacing w:after="180"/>
        <w:jc w:val="both"/>
      </w:pPr>
      <w:r>
        <w:rPr>
          <w:b/>
          <w:bCs/>
        </w:rPr>
        <w:t xml:space="preserve">Customer:</w:t>
      </w:r>
      <w:r>
        <w:t xml:space="preserve"> ___________ (hereinafter the "</w:t>
      </w:r>
      <w:r>
        <w:rPr>
          <w:b/>
          <w:bCs/>
        </w:rPr>
        <w:t xml:space="preserve">Customer</w:t>
      </w:r>
      <w:r>
        <w:t xml:space="preserve">").</w:t>
      </w:r>
    </w:p>
    <w:p>
      <w:pPr>
        <w:spacing w:after="180"/>
        <w:jc w:val="both"/>
      </w:pPr>
      <w:r>
        <w:rPr>
          <w:b/>
          <w:bCs/>
        </w:rPr>
        <w:t xml:space="preserve">Whereas</w:t>
      </w:r>
      <w:r>
        <w:t xml:space="preserve"> the Customer desires to engage a dedicated team of professionals provided by the Contractor to work exclusively on the Customer's project under the Customer's direction, and the Contractor agrees to provide such a team subject to the terms below.</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Service model</w:t>
            </w:r>
          </w:p>
        </w:tc>
        <w:tc>
          <w:tcPr>
            <w:tcW w:type="pct" w:w="50%"/>
            <w:tcMar>
              <w:top w:type="dxa" w:w="80"/>
              <w:left w:type="dxa" w:w="120"/>
              <w:bottom w:type="dxa" w:w="80"/>
              <w:right w:type="dxa" w:w="120"/>
            </w:tcMar>
          </w:tcPr>
          <w:p>
            <w:pPr>
              <w:spacing w:after="60" w:before="60"/>
            </w:pPr>
            <w:r>
              <w:rPr>
                <w:b/>
                <w:bCs/>
                <w:sz w:val="20"/>
                <w:szCs w:val="20"/>
              </w:rPr>
              <w:t xml:space="preserve">Dedicated Team</w:t>
            </w:r>
            <w:r>
              <w:rPr>
                <w:b w:val="false"/>
                <w:bCs w:val="false"/>
                <w:sz w:val="20"/>
                <w:szCs w:val="20"/>
              </w:rPr>
              <w:t xml:space="preserve"> — monthly retainer for committed headcount</w:t>
            </w:r>
          </w:p>
        </w:tc>
      </w:tr>
      <w:tr>
        <w:tc>
          <w:tcPr>
            <w:tcW w:type="pct" w:w="50%"/>
            <w:tcMar>
              <w:top w:type="dxa" w:w="80"/>
              <w:left w:type="dxa" w:w="120"/>
              <w:bottom w:type="dxa" w:w="80"/>
              <w:right w:type="dxa" w:w="120"/>
            </w:tcMar>
          </w:tcPr>
          <w:p>
            <w:pPr>
              <w:spacing w:after="60" w:before="60"/>
            </w:pPr>
            <w:r>
              <w:rPr>
                <w:b/>
                <w:bCs/>
                <w:sz w:val="20"/>
                <w:szCs w:val="20"/>
              </w:rPr>
              <w:t xml:space="preserve">Team size</w:t>
            </w:r>
          </w:p>
        </w:tc>
        <w:tc>
          <w:tcPr>
            <w:tcW w:type="pct" w:w="50%"/>
            <w:tcMar>
              <w:top w:type="dxa" w:w="80"/>
              <w:left w:type="dxa" w:w="120"/>
              <w:bottom w:type="dxa" w:w="80"/>
              <w:right w:type="dxa" w:w="120"/>
            </w:tcMar>
          </w:tcPr>
          <w:p>
            <w:pPr>
              <w:spacing w:after="60" w:before="60"/>
            </w:pPr>
            <w:r>
              <w:rPr>
                <w:b w:val="false"/>
                <w:bCs w:val="false"/>
                <w:sz w:val="20"/>
                <w:szCs w:val="20"/>
              </w:rPr>
              <w:t xml:space="preserve">As specified in the Team Plan (Attachment A)</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First business day of each month. Due within </w:t>
            </w:r>
            <w:r>
              <w:rPr>
                <w:b/>
                <w:bCs/>
                <w:sz w:val="20"/>
                <w:szCs w:val="20"/>
              </w:rPr>
              <w:t xml:space="preserve">15 calendar days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Ramp-up period</w:t>
            </w:r>
          </w:p>
        </w:tc>
        <w:tc>
          <w:tcPr>
            <w:tcW w:type="pct" w:w="50%"/>
            <w:tcMar>
              <w:top w:type="dxa" w:w="80"/>
              <w:left w:type="dxa" w:w="120"/>
              <w:bottom w:type="dxa" w:w="80"/>
              <w:right w:type="dxa" w:w="120"/>
            </w:tcMar>
          </w:tcPr>
          <w:p>
            <w:pPr>
              <w:spacing w:after="60" w:before="60"/>
            </w:pPr>
            <w:r>
              <w:rPr>
                <w:b/>
                <w:bCs/>
                <w:sz w:val="20"/>
                <w:szCs w:val="20"/>
              </w:rPr>
              <w:t xml:space="preserve">30 calendar days</w:t>
            </w:r>
            <w:r>
              <w:rPr>
                <w:b w:val="false"/>
                <w:bCs w:val="false"/>
                <w:sz w:val="20"/>
                <w:szCs w:val="20"/>
              </w:rPr>
              <w:t xml:space="preserve"> from effective date</w:t>
            </w:r>
          </w:p>
        </w:tc>
      </w:tr>
      <w:tr>
        <w:tc>
          <w:tcPr>
            <w:tcW w:type="pct" w:w="50%"/>
            <w:tcMar>
              <w:top w:type="dxa" w:w="80"/>
              <w:left w:type="dxa" w:w="120"/>
              <w:bottom w:type="dxa" w:w="80"/>
              <w:right w:type="dxa" w:w="120"/>
            </w:tcMar>
          </w:tcPr>
          <w:p>
            <w:pPr>
              <w:spacing w:after="60" w:before="60"/>
            </w:pPr>
            <w:r>
              <w:rPr>
                <w:b/>
                <w:bCs/>
                <w:sz w:val="20"/>
                <w:szCs w:val="20"/>
              </w:rPr>
              <w:t xml:space="preserve">Ramp-down notice</w:t>
            </w:r>
          </w:p>
        </w:tc>
        <w:tc>
          <w:tcPr>
            <w:tcW w:type="pct" w:w="50%"/>
            <w:tcMar>
              <w:top w:type="dxa" w:w="80"/>
              <w:left w:type="dxa" w:w="120"/>
              <w:bottom w:type="dxa" w:w="80"/>
              <w:right w:type="dxa" w:w="120"/>
            </w:tcMar>
          </w:tcPr>
          <w:p>
            <w:pPr>
              <w:spacing w:after="60" w:before="60"/>
            </w:pPr>
            <w:r>
              <w:rPr>
                <w:b/>
                <w:bCs/>
                <w:sz w:val="20"/>
                <w:szCs w:val="20"/>
              </w:rPr>
              <w:t xml:space="preserve">30 calendar days</w:t>
            </w:r>
            <w:r>
              <w:rPr>
                <w:b w:val="false"/>
                <w:bCs w:val="false"/>
                <w:sz w:val="20"/>
                <w:szCs w:val="20"/>
              </w:rPr>
              <w:t xml:space="preserve"> per team member</w:t>
            </w:r>
          </w:p>
        </w:tc>
      </w:tr>
      <w:tr>
        <w:tc>
          <w:tcPr>
            <w:tcW w:type="pct" w:w="50%"/>
            <w:tcMar>
              <w:top w:type="dxa" w:w="80"/>
              <w:left w:type="dxa" w:w="120"/>
              <w:bottom w:type="dxa" w:w="80"/>
              <w:right w:type="dxa" w:w="120"/>
            </w:tcMar>
          </w:tcPr>
          <w:p>
            <w:pPr>
              <w:spacing w:after="60" w:before="60"/>
            </w:pPr>
            <w:r>
              <w:rPr>
                <w:b/>
                <w:bCs/>
                <w:sz w:val="20"/>
                <w:szCs w:val="20"/>
              </w:rPr>
              <w:t xml:space="preserve">Replacement SLA</w:t>
            </w:r>
          </w:p>
        </w:tc>
        <w:tc>
          <w:tcPr>
            <w:tcW w:type="pct" w:w="50%"/>
            <w:tcMar>
              <w:top w:type="dxa" w:w="80"/>
              <w:left w:type="dxa" w:w="120"/>
              <w:bottom w:type="dxa" w:w="80"/>
              <w:right w:type="dxa" w:w="120"/>
            </w:tcMar>
          </w:tcPr>
          <w:p>
            <w:pPr>
              <w:spacing w:after="60" w:before="60"/>
            </w:pPr>
            <w:r>
              <w:rPr>
                <w:b/>
                <w:bCs/>
                <w:sz w:val="20"/>
                <w:szCs w:val="20"/>
              </w:rPr>
              <w:t xml:space="preserve">15 business days</w:t>
            </w:r>
            <w:r>
              <w:rPr>
                <w:b w:val="false"/>
                <w:bCs w:val="false"/>
                <w:sz w:val="20"/>
                <w:szCs w:val="20"/>
              </w:rPr>
              <w:t xml:space="preserve"> for any vacancy</w:t>
            </w:r>
          </w:p>
        </w:tc>
      </w:tr>
      <w:tr>
        <w:tc>
          <w:tcPr>
            <w:tcW w:type="pct" w:w="50%"/>
            <w:tcMar>
              <w:top w:type="dxa" w:w="80"/>
              <w:left w:type="dxa" w:w="120"/>
              <w:bottom w:type="dxa" w:w="80"/>
              <w:right w:type="dxa" w:w="120"/>
            </w:tcMar>
          </w:tcPr>
          <w:p>
            <w:pPr>
              <w:spacing w:after="60" w:before="60"/>
            </w:pPr>
            <w:r>
              <w:rPr>
                <w:b/>
                <w:bCs/>
                <w:sz w:val="20"/>
                <w:szCs w:val="20"/>
              </w:rPr>
              <w:t xml:space="preserve">Working hours</w:t>
            </w:r>
          </w:p>
        </w:tc>
        <w:tc>
          <w:tcPr>
            <w:tcW w:type="pct" w:w="50%"/>
            <w:tcMar>
              <w:top w:type="dxa" w:w="80"/>
              <w:left w:type="dxa" w:w="120"/>
              <w:bottom w:type="dxa" w:w="80"/>
              <w:right w:type="dxa" w:w="120"/>
            </w:tcMar>
          </w:tcPr>
          <w:p>
            <w:pPr>
              <w:spacing w:after="60" w:before="60"/>
            </w:pPr>
            <w:r>
              <w:rPr>
                <w:b w:val="false"/>
                <w:bCs w:val="false"/>
                <w:sz w:val="20"/>
                <w:szCs w:val="20"/>
              </w:rPr>
              <w:t xml:space="preserve">As defined in the Team Plan (Attachment A)</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125% of standard rate, requires prior written approval</w:t>
            </w:r>
          </w:p>
        </w:tc>
      </w:tr>
      <w:tr>
        <w:tc>
          <w:tcPr>
            <w:tcW w:type="pct" w:w="50%"/>
            <w:tcMar>
              <w:top w:type="dxa" w:w="80"/>
              <w:left w:type="dxa" w:w="120"/>
              <w:bottom w:type="dxa" w:w="80"/>
              <w:right w:type="dxa" w:w="120"/>
            </w:tcMar>
          </w:tcPr>
          <w:p>
            <w:pPr>
              <w:spacing w:after="60" w:before="60"/>
            </w:pPr>
            <w:r>
              <w:rPr>
                <w:b/>
                <w:bCs/>
                <w:sz w:val="20"/>
                <w:szCs w:val="20"/>
              </w:rPr>
              <w:t xml:space="preserve">Term</w:t>
            </w:r>
          </w:p>
        </w:tc>
        <w:tc>
          <w:tcPr>
            <w:tcW w:type="pct" w:w="50%"/>
            <w:tcMar>
              <w:top w:type="dxa" w:w="80"/>
              <w:left w:type="dxa" w:w="120"/>
              <w:bottom w:type="dxa" w:w="80"/>
              <w:right w:type="dxa" w:w="120"/>
            </w:tcMar>
          </w:tcPr>
          <w:p>
            <w:pPr>
              <w:spacing w:after="60" w:before="60"/>
            </w:pPr>
            <w:r>
              <w:rPr>
                <w:b/>
                <w:bCs/>
                <w:sz w:val="20"/>
                <w:szCs w:val="20"/>
              </w:rPr>
              <w:t xml:space="preserve">12 months</w:t>
            </w:r>
            <w:r>
              <w:rPr>
                <w:b w:val="false"/>
                <w:bCs w:val="false"/>
                <w:sz w:val="20"/>
                <w:szCs w:val="20"/>
              </w:rPr>
              <w:t xml:space="preserve">, auto-renewing annually unless either party provides </w:t>
            </w:r>
            <w:r>
              <w:rPr>
                <w:b/>
                <w:bCs/>
                <w:sz w:val="20"/>
                <w:szCs w:val="20"/>
              </w:rPr>
              <w:t xml:space="preserve">60 days</w:t>
            </w:r>
            <w:r>
              <w:rPr>
                <w:b w:val="false"/>
                <w:bCs w:val="false"/>
                <w:sz w:val="20"/>
                <w:szCs w:val="20"/>
              </w:rPr>
              <w:t xml:space="preserve"> notice</w:t>
            </w:r>
          </w:p>
        </w:tc>
      </w:tr>
    </w:tbl>
    <w:p>
      <w:pPr>
        <w:spacing w:after="160" w:before="0"/>
      </w:pPr>
      <w:r>
        <w:t xml:space="preserve"/>
      </w:r>
    </w:p>
    <w:p>
      <w:pPr>
        <w:pStyle w:val="Heading2"/>
        <w:keepNext/>
        <w:spacing w:after="180" w:before="360"/>
      </w:pPr>
      <w:r>
        <w:t xml:space="preserve">2. Team Composition and Management</w:t>
      </w:r>
    </w:p>
    <w:p>
      <w:pPr>
        <w:spacing w:after="180"/>
        <w:jc w:val="both"/>
      </w:pPr>
      <w:r>
        <w:rPr>
          <w:b/>
          <w:bCs/>
        </w:rPr>
        <w:t xml:space="preserve">Team Composition.</w:t>
      </w:r>
      <w:r>
        <w:t xml:space="preserve"> The Contractor shall provide a dedicated team of the size and skill profile specified in the applicable Team Plan annexed to this Agreement. The team works exclusively on the Customer's project during the agreed working hours.</w:t>
      </w:r>
    </w:p>
    <w:p>
      <w:pPr>
        <w:spacing w:after="180"/>
        <w:jc w:val="both"/>
      </w:pPr>
      <w:r>
        <w:rPr>
          <w:b/>
          <w:bCs/>
        </w:rPr>
        <w:t xml:space="preserve">Monthly Retainer.</w:t>
      </w:r>
      <w:r>
        <w:t xml:space="preserve"> The Customer shall pay a fixed monthly retainer for the agreed headcount, invoiced on the first business day of each calendar month and due within </w:t>
      </w:r>
      <w:r>
        <w:rPr>
          <w:b/>
          <w:bCs/>
        </w:rPr>
        <w:t xml:space="preserve">fifteen (15) calendar days</w:t>
      </w:r>
      <w:r>
        <w:t xml:space="preserve">. The retainer covers standard working hours as defined in the Team Plan.</w:t>
      </w:r>
    </w:p>
    <w:p>
      <w:pPr>
        <w:spacing w:after="180"/>
        <w:jc w:val="both"/>
      </w:pPr>
      <w:r>
        <w:rPr>
          <w:b/>
          <w:bCs/>
        </w:rPr>
        <w:t xml:space="preserve">Ramp-Up.</w:t>
      </w:r>
      <w:r>
        <w:t xml:space="preserve"> The Contractor shall use commercially reasonable efforts to fill the agreed positions within </w:t>
      </w:r>
      <w:r>
        <w:rPr>
          <w:b/>
          <w:bCs/>
        </w:rPr>
        <w:t xml:space="preserve">thirty (30) calendar days</w:t>
      </w:r>
      <w:r>
        <w:t xml:space="preserve"> of the effective date. Partial months during ramp-up are prorated by calendar day.</w:t>
      </w:r>
    </w:p>
    <w:p>
      <w:pPr>
        <w:spacing w:after="180"/>
        <w:jc w:val="both"/>
      </w:pPr>
      <w:r>
        <w:rPr>
          <w:b/>
          <w:bCs/>
        </w:rPr>
        <w:t xml:space="preserve">Ramp-Down.</w:t>
      </w:r>
      <w:r>
        <w:t xml:space="preserve"> Either party may reduce the team size by providing </w:t>
      </w:r>
      <w:r>
        <w:rPr>
          <w:b/>
          <w:bCs/>
        </w:rPr>
        <w:t xml:space="preserve">thirty (30) days</w:t>
      </w:r>
      <w:r>
        <w:t xml:space="preserve"> written notice per team member to be removed. The retainer adjusts from the first day of the next calendar month following the notice period.</w:t>
      </w:r>
    </w:p>
    <w:p>
      <w:pPr>
        <w:spacing w:after="180"/>
        <w:jc w:val="both"/>
      </w:pPr>
      <w:r>
        <w:rPr>
          <w:b/>
          <w:bCs/>
        </w:rPr>
        <w:t xml:space="preserve">Replacement Guarantee.</w:t>
      </w:r>
      <w:r>
        <w:t xml:space="preserve"> If a team member becomes unavailable (resignation, illness, or performance issue), the Contractor shall provide a replacement of comparable skill within </w:t>
      </w:r>
      <w:r>
        <w:rPr>
          <w:b/>
          <w:bCs/>
        </w:rPr>
        <w:t xml:space="preserve">fifteen (15) business days</w:t>
      </w:r>
      <w:r>
        <w:t xml:space="preserve">. During the vacancy period, the retainer for that position is reduced by </w:t>
      </w:r>
      <w:r>
        <w:rPr>
          <w:b/>
          <w:bCs/>
        </w:rPr>
        <w:t xml:space="preserve">50%</w:t>
      </w:r>
      <w:r>
        <w:t xml:space="preserve">.</w:t>
      </w:r>
    </w:p>
    <w:p>
      <w:pPr>
        <w:spacing w:after="180"/>
        <w:jc w:val="both"/>
      </w:pPr>
      <w:r>
        <w:rPr>
          <w:b/>
          <w:bCs/>
        </w:rPr>
        <w:t xml:space="preserve">Performance Reviews.</w:t>
      </w:r>
      <w:r>
        <w:t xml:space="preserve"> The Customer may request a performance review for any team member at any time. If the Customer reasonably determines that a team member does not meet the required skill level, the Contractor shall replace that member within </w:t>
      </w:r>
      <w:r>
        <w:rPr>
          <w:b/>
          <w:bCs/>
        </w:rPr>
        <w:t xml:space="preserve">fifteen (15) business days</w:t>
      </w:r>
      <w:r>
        <w:t xml:space="preserve"> of written notice.</w:t>
      </w:r>
    </w:p>
    <w:p>
      <w:pPr>
        <w:spacing w:after="180"/>
        <w:jc w:val="both"/>
      </w:pPr>
      <w:r>
        <w:rPr>
          <w:b/>
          <w:bCs/>
        </w:rPr>
        <w:t xml:space="preserve">Overtime.</w:t>
      </w:r>
      <w:r>
        <w:t xml:space="preserve"> Work beyond the standard hours defined in the Team Plan requires prior written approval from the Customer and is billed at </w:t>
      </w:r>
      <w:r>
        <w:rPr>
          <w:b/>
          <w:bCs/>
        </w:rPr>
        <w:t xml:space="preserve">125%</w:t>
      </w:r>
      <w:r>
        <w:t xml:space="preserve"> of the standard hourly rate derived from the monthly retainer.</w:t>
      </w:r>
    </w:p>
    <w:p>
      <w:pPr>
        <w:pStyle w:val="Heading2"/>
        <w:keepNext/>
        <w:spacing w:after="180" w:before="360"/>
      </w:pPr>
      <w:r>
        <w:t xml:space="preserve">How this clause works in practice</w:t>
      </w:r>
    </w:p>
    <w:p>
      <w:pPr>
        <w:spacing w:after="180"/>
        <w:jc w:val="both"/>
      </w:pPr>
      <w:r>
        <w:t xml:space="preserve">The dedicated-team model is a middle ground between staff augmentation (pure hourly billing) and project-based delivery (fixed scope). The monthly retainer gives the client cost predictability while the replacement guarantee gives them quality assurance.</w:t>
      </w:r>
    </w:p>
    <w:p>
      <w:pPr>
        <w:spacing w:after="180"/>
        <w:jc w:val="both"/>
      </w:pPr>
      <w:r>
        <w:t xml:space="preserve">The 50% vacancy reduction is deliberately generous to the client — it incentivizes the contractor to fill vacancies fast rather than collect full retainer during gaps.</w:t>
      </w:r>
    </w:p>
    <w:p>
      <w:pPr>
        <w:pStyle w:val="Heading2"/>
        <w:keepNext/>
        <w:spacing w:after="180" w:before="360"/>
      </w:pPr>
      <w:r>
        <w:t xml:space="preserve">Where this clause appears</w:t>
      </w:r>
    </w:p>
    <w:p>
      <w:pPr>
        <w:pStyle w:val="ListParagraph"/>
        <w:numPr>
          <w:ilvl w:val="0"/>
          <w:numId w:val="1"/>
        </w:numPr>
        <w:spacing w:after="60"/>
      </w:pPr>
      <w:r>
        <w:t xml:space="preserve">Dedicated Team — the primary agreement</w:t>
      </w:r>
    </w:p>
    <w:p>
      <w:pPr>
        <w:pStyle w:val="ListParagraph"/>
        <w:numPr>
          <w:ilvl w:val="0"/>
          <w:numId w:val="1"/>
        </w:numPr>
        <w:spacing w:after="60"/>
      </w:pPr>
      <w:r>
        <w:t xml:space="preserve">Not used in T&amp;M or SoW engagements (different billing models)</w:t>
      </w:r>
    </w:p>
    <w:p>
      <w:pPr>
        <w:pStyle w:val="Heading2"/>
        <w:keepNext/>
        <w:spacing w:after="180" w:before="360"/>
      </w:pPr>
      <w:r>
        <w:t xml:space="preserve">3. Payments</w:t>
      </w:r>
    </w:p>
    <w:p>
      <w:pPr>
        <w:spacing w:after="180"/>
        <w:jc w:val="both"/>
      </w:pPr>
      <w:r>
        <w:rPr>
          <w:b/>
          <w:bCs/>
        </w:rPr>
        <w:t xml:space="preserve">Payment Dispute.</w:t>
      </w:r>
      <w:r>
        <w:t xml:space="preserve"> If any amount claimed as payable is disputed in good faith, the </w:t>
      </w:r>
      <w:r>
        <w:rPr>
          <w:b/>
          <w:bCs/>
        </w:rPr>
        <w:t xml:space="preserve">Customer</w:t>
      </w:r>
      <w:r>
        <w:t xml:space="preserve">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Customer within 5 business days of receipt are considered accepted.</w:t>
      </w:r>
    </w:p>
    <w:p>
      <w:pPr>
        <w:spacing w:after="180"/>
        <w:jc w:val="both"/>
      </w:pPr>
      <w:r>
        <w:rPr>
          <w:b/>
          <w:bCs/>
        </w:rPr>
        <w:t xml:space="preserve">Late Payments.</w:t>
      </w:r>
      <w:r>
        <w:t xml:space="preserve"> If the Customer does not pay invoices when due, interest on the unpaid amounts of </w:t>
      </w:r>
      <w:r>
        <w:rPr>
          <w:b/>
          <w:bCs/>
        </w:rPr>
        <w:t xml:space="preserve">0.5% per calendar day</w:t>
      </w:r>
      <w:r>
        <w:t xml:space="preserve"> will be charged starting the day after the payment becomes due.</w:t>
      </w:r>
    </w:p>
    <w:p>
      <w:pPr>
        <w:pStyle w:val="Heading2"/>
        <w:keepNext/>
        <w:spacing w:after="180" w:before="360"/>
      </w:pPr>
      <w:r>
        <w:t xml:space="preserve">How this clause works in practice</w:t>
      </w:r>
    </w:p>
    <w:p>
      <w:pPr>
        <w:spacing w:after="180"/>
        <w:jc w:val="both"/>
      </w:pPr>
      <w:r>
        <w:t xml:space="preserve">Defensive mechanism for two reasons:</w:t>
      </w:r>
    </w:p>
    <w:p>
      <w:pPr>
        <w:pStyle w:val="ListParagraph"/>
        <w:numPr>
          <w:ilvl w:val="0"/>
          <w:numId w:val="2"/>
        </w:numPr>
        <w:spacing w:after="60"/>
      </w:pPr>
      <w:r>
        <w:rPr>
          <w:b/>
          <w:bCs/>
        </w:rPr>
        <w:t xml:space="preserve">Psychological pressure.</w:t>
      </w:r>
      <w:r>
        <w:t xml:space="preserve"> 0.5%/day ≈ 180% annualized. Client</w:t>
      </w:r>
    </w:p>
    <w:p>
      <w:pPr>
        <w:spacing w:after="180"/>
        <w:jc w:val="both"/>
      </w:pPr>
      <w:r>
        <w:t xml:space="preserve">finance teams notice this number and bump our invoices up the payment queue.</w:t>
      </w:r>
    </w:p>
    <w:p>
      <w:pPr>
        <w:pStyle w:val="ListParagraph"/>
        <w:numPr>
          <w:ilvl w:val="0"/>
          <w:numId w:val="2"/>
        </w:numPr>
        <w:spacing w:after="60"/>
      </w:pPr>
      <w:r>
        <w:rPr>
          <w:b/>
          <w:bCs/>
        </w:rPr>
        <w:t xml:space="preserve">Legal footing.</w:t>
      </w:r>
      <w:r>
        <w:t xml:space="preserve"> If collection escalates to court, we have</w:t>
      </w:r>
    </w:p>
    <w:p>
      <w:pPr>
        <w:spacing w:after="180"/>
        <w:jc w:val="both"/>
      </w:pPr>
      <w:r>
        <w:t xml:space="preserve">a clean contractual basis for including interest in the claim, without renegotiation.</w:t>
      </w:r>
    </w:p>
    <w:p>
      <w:pPr>
        <w:pStyle w:val="Heading2"/>
        <w:keepNext/>
        <w:spacing w:after="180" w:before="360"/>
      </w:pPr>
      <w:r>
        <w:t xml:space="preserve">4. Non-Solicitation</w:t>
      </w:r>
    </w:p>
    <w:p>
      <w:pPr>
        <w:spacing w:after="180"/>
        <w:jc w:val="both"/>
      </w:pPr>
      <w:r>
        <w:t xml:space="preserve">During the term of this agreement and for </w:t>
      </w:r>
      <w:r>
        <w:rPr>
          <w:b/>
          <w:bCs/>
        </w:rPr>
        <w:t xml:space="preserve">1 year</w:t>
      </w:r>
      <w:r>
        <w:t xml:space="preserve"> after its termination, neither party shall solicit, hire or encourage to leave employment any person who is an employee or subcontractor of the other party and who has been involved in the Services.</w:t>
      </w:r>
    </w:p>
    <w:p>
      <w:pPr>
        <w:spacing w:after="180"/>
        <w:jc w:val="both"/>
      </w:pPr>
      <w:r>
        <w:t xml:space="preserve">If any employee or subcontractor of one party independently approaches the other party about employment, the receiving party shall immediately suspend such a request and notify the other party.</w:t>
      </w:r>
    </w:p>
    <w:p>
      <w:pPr>
        <w:pStyle w:val="Heading2"/>
        <w:keepNext/>
        <w:spacing w:after="180" w:before="360"/>
      </w:pPr>
      <w:r>
        <w:t xml:space="preserve">5. Intellectual Property</w:t>
      </w:r>
    </w:p>
    <w:p>
      <w:pPr>
        <w:spacing w:after="180"/>
        <w:jc w:val="both"/>
      </w:pPr>
      <w:r>
        <w:rPr>
          <w:b/>
          <w:bCs/>
        </w:rPr>
        <w:t xml:space="preserve">Final Works.</w:t>
      </w:r>
      <w:r>
        <w:t xml:space="preserve"> The Contractor transfers to the Customer all intellectual property rights (IP rights) in all materials developed for or provided to the Customer by the Contractor through the performance of Services (Deliverables), </w:t>
      </w:r>
      <w:r>
        <w:rPr>
          <w:b/>
          <w:bCs/>
        </w:rPr>
        <w:t xml:space="preserve">as necessary payments are made</w:t>
      </w:r>
      <w:r>
        <w:t xml:space="preserve"> during the agreement. If the agreement is terminated, the Contractor shall transfer all finished and unfinished Deliverables previously paid for.</w:t>
      </w:r>
    </w:p>
    <w:p>
      <w:pPr>
        <w:spacing w:after="180"/>
        <w:jc w:val="both"/>
      </w:pPr>
      <w:r>
        <w:rPr>
          <w:b/>
          <w:bCs/>
        </w:rPr>
        <w:t xml:space="preserve">No copyleft licenses.</w:t>
      </w:r>
      <w:r>
        <w:t xml:space="preserve"> The Contractor warrants that it has not included or used, and will not include or use, any Open-Source Software or any libraries or code licensed under the General Public License, AGPL, or any similar copyleft license in the Software, where such license would require the Customer to license the Software onwards or otherwise make it available to others, without the Customer's prior written consent.</w:t>
      </w:r>
    </w:p>
    <w:p>
      <w:pPr>
        <w:pStyle w:val="Heading2"/>
        <w:keepNext/>
        <w:spacing w:after="180" w:before="360"/>
      </w:pPr>
      <w:r>
        <w:t xml:space="preserve">How this works in practice</w:t>
      </w:r>
    </w:p>
    <w:p>
      <w:pPr>
        <w:spacing w:after="180"/>
        <w:jc w:val="both"/>
      </w:pPr>
      <w:r>
        <w:t xml:space="preserve">Three principled differences from the subcontract version:</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Aspect</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 (Dev)</w:t>
            </w:r>
          </w:p>
        </w:tc>
        <w:tc>
          <w:tcPr>
            <w:tcW w:type="pct" w:w="50%"/>
            <w:shd w:fill="EEE9D4" w:val="clear"/>
            <w:tcMar>
              <w:top w:type="dxa" w:w="80"/>
              <w:left w:type="dxa" w:w="120"/>
              <w:bottom w:type="dxa" w:w="80"/>
              <w:right w:type="dxa" w:w="120"/>
            </w:tcMar>
          </w:tcPr>
          <w:p>
            <w:pPr>
              <w:spacing w:after="60" w:before="60"/>
            </w:pPr>
            <w:r>
              <w:rPr>
                <w:b/>
                <w:bCs/>
                <w:sz w:val="20"/>
                <w:szCs w:val="20"/>
              </w:rPr>
              <w:t xml:space="preserve">Services Agreement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Direction</w:t>
            </w:r>
          </w:p>
        </w:tc>
        <w:tc>
          <w:tcPr>
            <w:tcW w:type="pct" w:w="50%"/>
            <w:tcMar>
              <w:top w:type="dxa" w:w="80"/>
              <w:left w:type="dxa" w:w="120"/>
              <w:bottom w:type="dxa" w:w="80"/>
              <w:right w:type="dxa" w:w="120"/>
            </w:tcMar>
          </w:tcPr>
          <w:p>
            <w:pPr>
              <w:spacing w:after="60" w:before="60"/>
            </w:pPr>
            <w:r>
              <w:rPr>
                <w:b w:val="false"/>
                <w:bCs w:val="false"/>
                <w:sz w:val="20"/>
                <w:szCs w:val="20"/>
              </w:rPr>
              <w:t xml:space="preserve">Subcontractor → Contractor</w:t>
            </w:r>
          </w:p>
        </w:tc>
        <w:tc>
          <w:tcPr>
            <w:tcW w:type="pct" w:w="50%"/>
            <w:tcMar>
              <w:top w:type="dxa" w:w="80"/>
              <w:left w:type="dxa" w:w="120"/>
              <w:bottom w:type="dxa" w:w="80"/>
              <w:right w:type="dxa" w:w="120"/>
            </w:tcMar>
          </w:tcPr>
          <w:p>
            <w:pPr>
              <w:spacing w:after="60" w:before="60"/>
            </w:pPr>
            <w:r>
              <w:rPr>
                <w:b w:val="false"/>
                <w:bCs w:val="false"/>
                <w:sz w:val="20"/>
                <w:szCs w:val="20"/>
              </w:rPr>
              <w:t xml:space="preserve">Contractor → 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Transfer timing</w:t>
            </w:r>
          </w:p>
        </w:tc>
        <w:tc>
          <w:tcPr>
            <w:tcW w:type="pct" w:w="50%"/>
            <w:tcMar>
              <w:top w:type="dxa" w:w="80"/>
              <w:left w:type="dxa" w:w="120"/>
              <w:bottom w:type="dxa" w:w="80"/>
              <w:right w:type="dxa" w:w="120"/>
            </w:tcMar>
          </w:tcPr>
          <w:p>
            <w:pPr>
              <w:spacing w:after="60" w:before="60"/>
            </w:pPr>
            <w:r>
              <w:rPr>
                <w:b w:val="false"/>
                <w:bCs w:val="false"/>
                <w:sz w:val="20"/>
                <w:szCs w:val="20"/>
              </w:rPr>
              <w:t xml:space="preserve">Exclusively after full payment of all fees</w:t>
            </w:r>
          </w:p>
        </w:tc>
        <w:tc>
          <w:tcPr>
            <w:tcW w:type="pct" w:w="50%"/>
            <w:tcMar>
              <w:top w:type="dxa" w:w="80"/>
              <w:left w:type="dxa" w:w="120"/>
              <w:bottom w:type="dxa" w:w="80"/>
              <w:right w:type="dxa" w:w="120"/>
            </w:tcMar>
          </w:tcPr>
          <w:p>
            <w:pPr>
              <w:spacing w:after="60" w:before="60"/>
            </w:pPr>
            <w:r>
              <w:rPr>
                <w:b w:val="false"/>
                <w:bCs w:val="false"/>
                <w:sz w:val="20"/>
                <w:szCs w:val="20"/>
              </w:rPr>
              <w:t xml:space="preserve">Rolling, as payments are made</w:t>
            </w:r>
          </w:p>
        </w:tc>
      </w:tr>
      <w:tr>
        <w:tc>
          <w:tcPr>
            <w:tcW w:type="pct" w:w="50%"/>
            <w:tcMar>
              <w:top w:type="dxa" w:w="80"/>
              <w:left w:type="dxa" w:w="120"/>
              <w:bottom w:type="dxa" w:w="80"/>
              <w:right w:type="dxa" w:w="120"/>
            </w:tcMar>
          </w:tcPr>
          <w:p>
            <w:pPr>
              <w:spacing w:after="60" w:before="60"/>
            </w:pPr>
            <w:r>
              <w:rPr>
                <w:b w:val="false"/>
                <w:bCs w:val="false"/>
                <w:sz w:val="20"/>
                <w:szCs w:val="20"/>
              </w:rPr>
              <w:t xml:space="preserve">On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w:t>
            </w:r>
          </w:p>
        </w:tc>
        <w:tc>
          <w:tcPr>
            <w:tcW w:type="pct" w:w="50%"/>
            <w:tcMar>
              <w:top w:type="dxa" w:w="80"/>
              <w:left w:type="dxa" w:w="120"/>
              <w:bottom w:type="dxa" w:w="80"/>
              <w:right w:type="dxa" w:w="120"/>
            </w:tcMar>
          </w:tcPr>
          <w:p>
            <w:pPr>
              <w:spacing w:after="60" w:before="60"/>
            </w:pPr>
            <w:r>
              <w:rPr>
                <w:b w:val="false"/>
                <w:bCs w:val="false"/>
                <w:sz w:val="20"/>
                <w:szCs w:val="20"/>
              </w:rPr>
              <w:t xml:space="preserve">We transfer all paid-for work, including unfinished</w:t>
            </w:r>
          </w:p>
        </w:tc>
      </w:tr>
    </w:tbl>
    <w:p>
      <w:pPr>
        <w:spacing w:after="160" w:before="0"/>
      </w:pPr>
      <w:r>
        <w:t xml:space="preserve"/>
      </w:r>
    </w:p>
    <w:p>
      <w:pPr>
        <w:spacing w:after="180"/>
        <w:jc w:val="both"/>
      </w:pPr>
      <w:r>
        <w:rPr>
          <w:b/>
          <w:bCs/>
        </w:rPr>
        <w:t xml:space="preserve">Rolling IP transfer</w:t>
      </w:r>
      <w:r>
        <w:t xml:space="preserve"> is the important change. The client gets rights </w:t>
      </w:r>
      <w:r>
        <w:rPr>
          <w:b/>
          <w:bCs/>
        </w:rPr>
        <w:t xml:space="preserve">progressively as they pay</w:t>
      </w:r>
      <w:r>
        <w:t xml:space="preserve">, not "all or nothing after the last invoice." This protects the client if we stop working mid- project for any reason — they retain rights to what they paid for and can continue development with another contractor.</w:t>
      </w:r>
    </w:p>
    <w:p>
      <w:pPr>
        <w:pStyle w:val="Heading2"/>
        <w:keepNext/>
        <w:spacing w:after="180" w:before="360"/>
      </w:pPr>
      <w:r>
        <w:t xml:space="preserve">6.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7.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8.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9.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HRB123456X / VAT ID: DE999888777</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 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Musterstraße 1, Berlin, 10115,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[Director Name],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Team Plan</w:t>
      </w:r>
    </w:p>
    <w:p>
      <w:pPr>
        <w:spacing w:after="180"/>
        <w:jc w:val="both"/>
      </w:pPr>
      <w:r>
        <w:t xml:space="preserve">To the Dedicated Team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Count</w:t>
            </w:r>
          </w:p>
        </w:tc>
        <w:tc>
          <w:tcPr>
            <w:tcW w:type="pct" w:w="50%"/>
            <w:shd w:fill="EEE9D4" w:val="clear"/>
            <w:tcMar>
              <w:top w:type="dxa" w:w="80"/>
              <w:left w:type="dxa" w:w="120"/>
              <w:bottom w:type="dxa" w:w="80"/>
              <w:right w:type="dxa" w:w="120"/>
            </w:tcMar>
          </w:tcPr>
          <w:p>
            <w:pPr>
              <w:spacing w:after="60" w:before="60"/>
            </w:pPr>
            <w:r>
              <w:rPr>
                <w:b/>
                <w:bCs/>
                <w:sz w:val="20"/>
                <w:szCs w:val="20"/>
              </w:rPr>
              <w:t xml:space="preserve">Monthly rate, EUR (€)</w:t>
            </w:r>
          </w:p>
        </w:tc>
        <w:tc>
          <w:tcPr>
            <w:tcW w:type="pct" w:w="50%"/>
            <w:shd w:fill="EEE9D4" w:val="clear"/>
            <w:tcMar>
              <w:top w:type="dxa" w:w="80"/>
              <w:left w:type="dxa" w:w="120"/>
              <w:bottom w:type="dxa" w:w="80"/>
              <w:right w:type="dxa" w:w="120"/>
            </w:tcMar>
          </w:tcPr>
          <w:p>
            <w:pPr>
              <w:spacing w:after="60" w:before="60"/>
            </w:pPr>
            <w:r>
              <w:rPr>
                <w:b/>
                <w:bCs/>
                <w:sz w:val="20"/>
                <w:szCs w:val="20"/>
              </w:rPr>
              <w:t xml:space="preserve">Working hours</w:t>
            </w:r>
          </w:p>
        </w:tc>
      </w:tr>
      <w:tr>
        <w:tc>
          <w:tcPr>
            <w:tcW w:type="pct" w:w="50%"/>
            <w:tcMar>
              <w:top w:type="dxa" w:w="80"/>
              <w:left w:type="dxa" w:w="120"/>
              <w:bottom w:type="dxa" w:w="80"/>
              <w:right w:type="dxa" w:w="120"/>
            </w:tcMar>
          </w:tcPr>
          <w:p>
            <w:pPr>
              <w:spacing w:after="60" w:before="60"/>
            </w:pPr>
            <w:r>
              <w:rPr>
                <w:b w:val="false"/>
                <w:bCs w:val="false"/>
                <w:sz w:val="20"/>
                <w:szCs w:val="20"/>
              </w:rPr>
              <w:t xml:space="preserve">Senior Developer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Mon–Fri, 09:00–18:00 CET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Mid-Level Developer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Mon–Fri, 09:00–18:00 CET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QA Engineer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Mon–Fri, 09:00–18:00 CET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Project Manager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Mon–Fri, 09:00–18:00 CET</w:t>
            </w:r>
          </w:p>
        </w:tc>
      </w:tr>
      <w:tr>
        <w:tc>
          <w:tcPr>
            <w:tcW w:type="pct" w:w="50%"/>
            <w:tcMar>
              <w:top w:type="dxa" w:w="80"/>
              <w:left w:type="dxa" w:w="120"/>
              <w:bottom w:type="dxa" w:w="80"/>
              <w:right w:type="dxa" w:w="120"/>
            </w:tcMar>
          </w:tcPr>
          <w:p>
            <w:pPr>
              <w:spacing w:after="60" w:before="60"/>
            </w:pPr>
            <w:r>
              <w:rPr>
                <w:b/>
                <w:bCs/>
                <w:sz w:val="20"/>
                <w:szCs w:val="20"/>
              </w:rPr>
              <w:t xml:space="preserve">Total monthly retainer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bCs/>
                <w:sz w:val="20"/>
                <w:szCs w:val="20"/>
              </w:rPr>
              <w:t xml:space="preserve">€______</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виділеної команди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виділеної команди</dc:title>
  <dc:creator>Drafters</dc:creator>
  <dc:description>Exported from Drafters — Договір виділеної команди</dc:description>
  <cp:lastModifiedBy>Un-named</cp:lastModifiedBy>
  <cp:revision>1</cp:revision>
  <dcterms:created xsi:type="dcterms:W3CDTF">2026-04-13T08:49:30.651Z</dcterms:created>
  <dcterms:modified xsi:type="dcterms:W3CDTF">2026-04-13T08:49:30.651Z</dcterms:modified>
</cp:coreProperties>
</file>

<file path=docProps/custom.xml><?xml version="1.0" encoding="utf-8"?>
<Properties xmlns="http://schemas.openxmlformats.org/officeDocument/2006/custom-properties" xmlns:vt="http://schemas.openxmlformats.org/officeDocument/2006/docPropsVTypes"/>
</file>