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pPr>
        <w:spacing w:after="600"/>
        <w:jc w:val="center"/>
      </w:pPr>
      <w:r>
        <w:rPr>
          <w:rFonts w:ascii="Georgia" w:cs="Georgia" w:eastAsia="Georgia" w:hAnsi="Georgia"/>
          <w:b/>
          <w:bCs/>
          <w:sz w:val="48"/>
          <w:szCs w:val="48"/>
        </w:rPr>
        <w:t xml:space="preserve">Services Agreement — Acme Services GmbH</w:t>
      </w:r>
    </w:p>
    <w:p>
      <w:pPr>
        <w:spacing w:after="120"/>
        <w:jc w:val="center"/>
      </w:pPr>
      <w:r>
        <w:rPr>
          <w:rFonts w:ascii="Georgia" w:cs="Georgia" w:eastAsia="Georgia" w:hAnsi="Georgia"/>
          <w:color w:val="8A8578"/>
          <w:sz w:val="18"/>
          <w:szCs w:val="18"/>
        </w:rPr>
        <w:t xml:space="preserve">Drafters</w:t>
      </w:r>
    </w:p>
    <w:p>
      <w:r>
        <w:r>
          <w:br w:type="page"/>
        </w:r>
      </w:r>
    </w:p>
    <w:p>
      <w:pPr>
        <w:pStyle w:val="Heading1"/>
        <w:keepNext/>
        <w:spacing w:after="180" w:before="360"/>
      </w:pPr>
      <w:r>
        <w:t xml:space="preserve">Services Agreement</w:t>
      </w:r>
    </w:p>
    <w:p>
      <w:pPr>
        <w:spacing w:after="180"/>
        <w:jc w:val="both"/>
      </w:pPr>
      <w:r>
        <w:rPr>
          <w:b/>
          <w:bCs/>
        </w:rPr>
        <w:t xml:space="preserve">Start date:</w:t>
      </w:r>
      <w:r>
        <w:t xml:space="preserve"> ___________</w:t>
      </w:r>
    </w:p>
    <w:p>
      <w:pPr>
        <w:spacing w:after="180"/>
        <w:jc w:val="both"/>
      </w:pPr>
      <w:r>
        <w:rPr>
          <w:b/>
          <w:bCs/>
        </w:rPr>
        <w:t xml:space="preserve">Contractor:</w:t>
      </w:r>
      <w:r>
        <w:t xml:space="preserve"> </w:t>
      </w:r>
      <w:r>
        <w:rPr>
          <w:b/>
          <w:bCs/>
        </w:rPr>
        <w:t xml:space="preserve">Acme Services GmbH</w:t>
      </w:r>
      <w:r>
        <w:t xml:space="preserve">, a company incorporated under the laws of the Federal Republic of Germany, Registry code </w:t>
      </w:r>
      <w:r>
        <w:rPr>
          <w:b/>
          <w:bCs/>
        </w:rPr>
        <w:t xml:space="preserve">HRB123456X</w:t>
      </w:r>
      <w:r>
        <w:t xml:space="preserve">, VAT ID </w:t>
      </w:r>
      <w:r>
        <w:rPr>
          <w:b/>
          <w:bCs/>
        </w:rPr>
        <w:t xml:space="preserve">DE999888777</w:t>
      </w:r>
      <w:r>
        <w:t xml:space="preserve">, with its registered address at Musterstraße 1, Berlin, 10115, Germany, represented by its Director Jana Weber (hereinafter the "</w:t>
      </w:r>
      <w:r>
        <w:rPr>
          <w:b/>
          <w:bCs/>
        </w:rPr>
        <w:t xml:space="preserve">Contractor</w:t>
      </w:r>
      <w:r>
        <w:t xml:space="preserve">").</w:t>
      </w:r>
    </w:p>
    <w:p>
      <w:pPr>
        <w:spacing w:after="180"/>
        <w:jc w:val="both"/>
      </w:pPr>
      <w:r>
        <w:rPr>
          <w:b/>
          <w:bCs/>
        </w:rPr>
        <w:t xml:space="preserve">Customer:</w:t>
      </w:r>
      <w:r>
        <w:t xml:space="preserve"> ___________ (hereinafter the "</w:t>
      </w:r>
      <w:r>
        <w:rPr>
          <w:b/>
          <w:bCs/>
        </w:rPr>
        <w:t xml:space="preserve">Customer</w:t>
      </w:r>
      <w:r>
        <w:t xml:space="preserve">").</w:t>
      </w:r>
    </w:p>
    <w:p>
      <w:pPr>
        <w:pStyle w:val="Heading2"/>
        <w:keepNext/>
        <w:spacing w:after="180" w:before="360"/>
      </w:pPr>
      <w:r>
        <w:t xml:space="preserve">1. Key Terms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Parameter</w:t>
            </w:r>
          </w:p>
        </w:tc>
        <w:tc>
          <w:tcPr>
            <w:tcW w:type="pct" w:w="50%"/>
            <w:shd w:fill="EEE9D4" w:val="clear"/>
            <w:tcMar>
              <w:top w:type="dxa" w:w="80"/>
              <w:left w:type="dxa" w:w="120"/>
              <w:bottom w:type="dxa" w:w="80"/>
              <w:right w:type="dxa" w:w="120"/>
            </w:tcMar>
          </w:tcPr>
          <w:p>
            <w:pPr>
              <w:spacing w:after="60" w:before="60"/>
            </w:pPr>
            <w:r>
              <w:rPr>
                <w:b/>
                <w:bCs/>
                <w:sz w:val="20"/>
                <w:szCs w:val="20"/>
              </w:rPr>
              <w:t xml:space="preserve">Value</w:t>
            </w:r>
          </w:p>
        </w:tc>
      </w:tr>
      <w:tr>
        <w:tc>
          <w:tcPr>
            <w:tcW w:type="pct" w:w="50%"/>
            <w:tcMar>
              <w:top w:type="dxa" w:w="80"/>
              <w:left w:type="dxa" w:w="120"/>
              <w:bottom w:type="dxa" w:w="80"/>
              <w:right w:type="dxa" w:w="120"/>
            </w:tcMar>
          </w:tcPr>
          <w:p>
            <w:pPr>
              <w:spacing w:after="60" w:before="60"/>
            </w:pPr>
            <w:r>
              <w:rPr>
                <w:b/>
                <w:bCs/>
                <w:sz w:val="20"/>
                <w:szCs w:val="20"/>
              </w:rPr>
              <w:t xml:space="preserve">Service provided</w:t>
            </w:r>
          </w:p>
        </w:tc>
        <w:tc>
          <w:tcPr>
            <w:tcW w:type="pct" w:w="50%"/>
            <w:tcMar>
              <w:top w:type="dxa" w:w="80"/>
              <w:left w:type="dxa" w:w="120"/>
              <w:bottom w:type="dxa" w:w="80"/>
              <w:right w:type="dxa" w:w="120"/>
            </w:tcMar>
          </w:tcPr>
          <w:p>
            <w:pPr>
              <w:spacing w:after="60" w:before="60"/>
            </w:pPr>
            <w:r>
              <w:rPr>
                <w:b w:val="false"/>
                <w:bCs w:val="false"/>
                <w:sz w:val="20"/>
                <w:szCs w:val="20"/>
              </w:rPr>
              <w:t xml:space="preserve">Software consulting and development (hereinafter the "</w:t>
            </w:r>
            <w:r>
              <w:rPr>
                <w:b/>
                <w:bCs/>
                <w:sz w:val="20"/>
                <w:szCs w:val="20"/>
              </w:rPr>
              <w:t xml:space="preserve">Services</w:t>
            </w:r>
            <w:r>
              <w:rPr>
                <w:b w:val="false"/>
                <w:bCs w:val="false"/>
                <w:sz w:val="20"/>
                <w:szCs w:val="20"/>
              </w:rPr>
              <w:t xml:space="preserve">")</w:t>
            </w:r>
          </w:p>
        </w:tc>
      </w:tr>
      <w:tr>
        <w:tc>
          <w:tcPr>
            <w:tcW w:type="pct" w:w="50%"/>
            <w:tcMar>
              <w:top w:type="dxa" w:w="80"/>
              <w:left w:type="dxa" w:w="120"/>
              <w:bottom w:type="dxa" w:w="80"/>
              <w:right w:type="dxa" w:w="120"/>
            </w:tcMar>
          </w:tcPr>
          <w:p>
            <w:pPr>
              <w:spacing w:after="60" w:before="60"/>
            </w:pPr>
            <w:r>
              <w:rPr>
                <w:b/>
                <w:bCs/>
                <w:sz w:val="20"/>
                <w:szCs w:val="20"/>
              </w:rPr>
              <w:t xml:space="preserve">Payments for Services</w:t>
            </w:r>
          </w:p>
        </w:tc>
        <w:tc>
          <w:tcPr>
            <w:tcW w:type="pct" w:w="50%"/>
            <w:tcMar>
              <w:top w:type="dxa" w:w="80"/>
              <w:left w:type="dxa" w:w="120"/>
              <w:bottom w:type="dxa" w:w="80"/>
              <w:right w:type="dxa" w:w="120"/>
            </w:tcMar>
          </w:tcPr>
          <w:p>
            <w:pPr>
              <w:spacing w:after="60" w:before="60"/>
            </w:pPr>
            <w:r>
              <w:rPr>
                <w:b/>
                <w:bCs/>
                <w:sz w:val="20"/>
                <w:szCs w:val="20"/>
              </w:rPr>
              <w:t xml:space="preserve">Prepayment</w:t>
            </w:r>
            <w:r>
              <w:rPr>
                <w:b w:val="false"/>
                <w:bCs w:val="false"/>
                <w:sz w:val="20"/>
                <w:szCs w:val="20"/>
              </w:rPr>
              <w:t xml:space="preserve">, based on the estimated number of hours to be spent in the next month.</w:t>
            </w:r>
          </w:p>
        </w:tc>
      </w:tr>
      <w:tr>
        <w:tc>
          <w:tcPr>
            <w:tcW w:type="pct" w:w="50%"/>
            <w:tcMar>
              <w:top w:type="dxa" w:w="80"/>
              <w:left w:type="dxa" w:w="120"/>
              <w:bottom w:type="dxa" w:w="80"/>
              <w:right w:type="dxa" w:w="120"/>
            </w:tcMar>
          </w:tcPr>
          <w:p>
            <w:pPr>
              <w:spacing w:after="60" w:before="60"/>
            </w:pPr>
            <w:r>
              <w:rPr>
                <w:b/>
                <w:bCs/>
                <w:sz w:val="20"/>
                <w:szCs w:val="20"/>
              </w:rPr>
              <w:t xml:space="preserve">Invoicing</w:t>
            </w:r>
          </w:p>
        </w:tc>
        <w:tc>
          <w:tcPr>
            <w:tcW w:type="pct" w:w="50%"/>
            <w:tcMar>
              <w:top w:type="dxa" w:w="80"/>
              <w:left w:type="dxa" w:w="120"/>
              <w:bottom w:type="dxa" w:w="80"/>
              <w:right w:type="dxa" w:w="120"/>
            </w:tcMar>
          </w:tcPr>
          <w:p>
            <w:pPr>
              <w:spacing w:after="60" w:before="60"/>
            </w:pPr>
            <w:r>
              <w:rPr>
                <w:b w:val="false"/>
                <w:bCs w:val="false"/>
                <w:sz w:val="20"/>
                <w:szCs w:val="20"/>
              </w:rPr>
              <w:t xml:space="preserve">Every month. The Customer must pay within </w:t>
            </w:r>
            <w:r>
              <w:rPr>
                <w:b/>
                <w:bCs/>
                <w:sz w:val="20"/>
                <w:szCs w:val="20"/>
              </w:rPr>
              <w:t xml:space="preserve">15 calendar days</w:t>
            </w:r>
            <w:r>
              <w:rPr>
                <w:b w:val="false"/>
                <w:bCs w:val="false"/>
                <w:sz w:val="20"/>
                <w:szCs w:val="20"/>
              </w:rPr>
              <w:t xml:space="preserve"> from the invoice date.</w:t>
            </w:r>
          </w:p>
        </w:tc>
      </w:tr>
      <w:tr>
        <w:tc>
          <w:tcPr>
            <w:tcW w:type="pct" w:w="50%"/>
            <w:tcMar>
              <w:top w:type="dxa" w:w="80"/>
              <w:left w:type="dxa" w:w="120"/>
              <w:bottom w:type="dxa" w:w="80"/>
              <w:right w:type="dxa" w:w="120"/>
            </w:tcMar>
          </w:tcPr>
          <w:p>
            <w:pPr>
              <w:spacing w:after="60" w:before="60"/>
            </w:pPr>
            <w:r>
              <w:rPr>
                <w:b/>
                <w:bCs/>
                <w:sz w:val="20"/>
                <w:szCs w:val="20"/>
              </w:rPr>
              <w:t xml:space="preserve">Payment transfers</w:t>
            </w:r>
          </w:p>
        </w:tc>
        <w:tc>
          <w:tcPr>
            <w:tcW w:type="pct" w:w="50%"/>
            <w:tcMar>
              <w:top w:type="dxa" w:w="80"/>
              <w:left w:type="dxa" w:w="120"/>
              <w:bottom w:type="dxa" w:w="80"/>
              <w:right w:type="dxa" w:w="120"/>
            </w:tcMar>
          </w:tcPr>
          <w:p>
            <w:pPr>
              <w:spacing w:after="60" w:before="60"/>
            </w:pPr>
            <w:r>
              <w:rPr>
                <w:b w:val="false"/>
                <w:bCs w:val="false"/>
                <w:sz w:val="20"/>
                <w:szCs w:val="20"/>
              </w:rPr>
              <w:t xml:space="preserve">To the banking account specified in the invoice. The sending party covers bank charges.</w:t>
            </w:r>
          </w:p>
        </w:tc>
      </w:tr>
      <w:tr>
        <w:tc>
          <w:tcPr>
            <w:tcW w:type="pct" w:w="50%"/>
            <w:tcMar>
              <w:top w:type="dxa" w:w="80"/>
              <w:left w:type="dxa" w:w="120"/>
              <w:bottom w:type="dxa" w:w="80"/>
              <w:right w:type="dxa" w:w="120"/>
            </w:tcMar>
          </w:tcPr>
          <w:p>
            <w:pPr>
              <w:spacing w:after="60" w:before="60"/>
            </w:pPr>
            <w:r>
              <w:rPr>
                <w:b/>
                <w:bCs/>
                <w:sz w:val="20"/>
                <w:szCs w:val="20"/>
              </w:rPr>
              <w:t xml:space="preserve">Term and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At-will termination with </w:t>
            </w:r>
            <w:r>
              <w:rPr>
                <w:b/>
                <w:bCs/>
                <w:sz w:val="20"/>
                <w:szCs w:val="20"/>
              </w:rPr>
              <w:t xml:space="preserve">30 days</w:t>
            </w:r>
            <w:r>
              <w:rPr>
                <w:b w:val="false"/>
                <w:bCs w:val="false"/>
                <w:sz w:val="20"/>
                <w:szCs w:val="20"/>
              </w:rPr>
              <w:t xml:space="preserve"> prior notice, then 14.</w:t>
            </w:r>
          </w:p>
        </w:tc>
      </w:tr>
      <w:tr>
        <w:tc>
          <w:tcPr>
            <w:tcW w:type="pct" w:w="50%"/>
            <w:tcMar>
              <w:top w:type="dxa" w:w="80"/>
              <w:left w:type="dxa" w:w="120"/>
              <w:bottom w:type="dxa" w:w="80"/>
              <w:right w:type="dxa" w:w="120"/>
            </w:tcMar>
          </w:tcPr>
          <w:p>
            <w:pPr>
              <w:spacing w:after="60" w:before="60"/>
            </w:pPr>
            <w:r>
              <w:rPr>
                <w:b/>
                <w:bCs/>
                <w:sz w:val="20"/>
                <w:szCs w:val="20"/>
              </w:rPr>
              <w:t xml:space="preserve">Team</w:t>
            </w:r>
          </w:p>
        </w:tc>
        <w:tc>
          <w:tcPr>
            <w:tcW w:type="pct" w:w="50%"/>
            <w:tcMar>
              <w:top w:type="dxa" w:w="80"/>
              <w:left w:type="dxa" w:w="120"/>
              <w:bottom w:type="dxa" w:w="80"/>
              <w:right w:type="dxa" w:w="120"/>
            </w:tcMar>
          </w:tcPr>
          <w:p>
            <w:pPr>
              <w:spacing w:after="60" w:before="60"/>
            </w:pPr>
            <w:r>
              <w:rPr>
                <w:b w:val="false"/>
                <w:bCs w:val="false"/>
                <w:sz w:val="20"/>
                <w:szCs w:val="20"/>
              </w:rPr>
              <w:t xml:space="preserve">The Contractor may engage subcontractors.</w:t>
            </w:r>
          </w:p>
        </w:tc>
      </w:tr>
      <w:tr>
        <w:tc>
          <w:tcPr>
            <w:tcW w:type="pct" w:w="50%"/>
            <w:tcMar>
              <w:top w:type="dxa" w:w="80"/>
              <w:left w:type="dxa" w:w="120"/>
              <w:bottom w:type="dxa" w:w="80"/>
              <w:right w:type="dxa" w:w="120"/>
            </w:tcMar>
          </w:tcPr>
          <w:p>
            <w:pPr>
              <w:spacing w:after="60" w:before="60"/>
            </w:pPr>
            <w:r>
              <w:rPr>
                <w:b/>
                <w:bCs/>
                <w:sz w:val="20"/>
                <w:szCs w:val="20"/>
              </w:rPr>
              <w:t xml:space="preserve">Overtime</w:t>
            </w:r>
          </w:p>
        </w:tc>
        <w:tc>
          <w:tcPr>
            <w:tcW w:type="pct" w:w="50%"/>
            <w:tcMar>
              <w:top w:type="dxa" w:w="80"/>
              <w:left w:type="dxa" w:w="120"/>
              <w:bottom w:type="dxa" w:w="80"/>
              <w:right w:type="dxa" w:w="120"/>
            </w:tcMar>
          </w:tcPr>
          <w:p>
            <w:pPr>
              <w:spacing w:after="60" w:before="60"/>
            </w:pPr>
            <w:r>
              <w:rPr>
                <w:b w:val="false"/>
                <w:bCs w:val="false"/>
                <w:sz w:val="20"/>
                <w:szCs w:val="20"/>
              </w:rPr>
              <w:t xml:space="preserve">Overtime = </w:t>
            </w:r>
            <w:r>
              <w:rPr>
                <w:b/>
                <w:bCs/>
                <w:sz w:val="20"/>
                <w:szCs w:val="20"/>
              </w:rPr>
              <w:t xml:space="preserve">2× Rate</w:t>
            </w:r>
            <w:r>
              <w:rPr>
                <w:b w:val="false"/>
                <w:bCs w:val="false"/>
                <w:sz w:val="20"/>
                <w:szCs w:val="20"/>
              </w:rPr>
              <w:t xml:space="preserve">. Only with Customer's written approval.</w:t>
            </w:r>
          </w:p>
        </w:tc>
      </w:tr>
      <w:tr>
        <w:tc>
          <w:tcPr>
            <w:tcW w:type="pct" w:w="50%"/>
            <w:tcMar>
              <w:top w:type="dxa" w:w="80"/>
              <w:left w:type="dxa" w:w="120"/>
              <w:bottom w:type="dxa" w:w="80"/>
              <w:right w:type="dxa" w:w="120"/>
            </w:tcMar>
          </w:tcPr>
          <w:p>
            <w:pPr>
              <w:spacing w:after="60" w:before="60"/>
            </w:pPr>
            <w:r>
              <w:rPr>
                <w:b/>
                <w:bCs/>
                <w:sz w:val="20"/>
                <w:szCs w:val="20"/>
              </w:rPr>
              <w:t xml:space="preserve">Rate increase</w:t>
            </w:r>
          </w:p>
        </w:tc>
        <w:tc>
          <w:tcPr>
            <w:tcW w:type="pct" w:w="50%"/>
            <w:tcMar>
              <w:top w:type="dxa" w:w="80"/>
              <w:left w:type="dxa" w:w="120"/>
              <w:bottom w:type="dxa" w:w="80"/>
              <w:right w:type="dxa" w:w="120"/>
            </w:tcMar>
          </w:tcPr>
          <w:p>
            <w:pPr>
              <w:spacing w:after="60" w:before="60"/>
            </w:pPr>
            <w:r>
              <w:rPr>
                <w:b w:val="false"/>
                <w:bCs w:val="false"/>
                <w:sz w:val="20"/>
                <w:szCs w:val="20"/>
              </w:rPr>
              <w:t xml:space="preserve">No more than once every 12 months. Not more than </w:t>
            </w:r>
            <w:r>
              <w:rPr>
                <w:b/>
                <w:bCs/>
                <w:sz w:val="20"/>
                <w:szCs w:val="20"/>
              </w:rPr>
              <w:t xml:space="preserve">12%</w:t>
            </w:r>
            <w:r>
              <w:rPr>
                <w:b w:val="false"/>
                <w:bCs w:val="false"/>
                <w:sz w:val="20"/>
                <w:szCs w:val="20"/>
              </w:rPr>
              <w:t xml:space="preserve"> annually.</w:t>
            </w:r>
          </w:p>
        </w:tc>
      </w:tr>
    </w:tbl>
    <w:p>
      <w:pPr>
        <w:spacing w:after="160" w:before="0"/>
      </w:pPr>
      <w:r>
        <w:t xml:space="preserve"/>
      </w:r>
    </w:p>
    <w:p>
      <w:pPr>
        <w:pStyle w:val="Heading2"/>
        <w:keepNext/>
        <w:spacing w:after="180" w:before="360"/>
      </w:pPr>
      <w:r>
        <w:t xml:space="preserve">2. Payments</w:t>
      </w:r>
    </w:p>
    <w:p>
      <w:pPr>
        <w:spacing w:after="180"/>
        <w:jc w:val="both"/>
      </w:pPr>
      <w:r>
        <w:rPr>
          <w:b/>
          <w:bCs/>
        </w:rPr>
        <w:t xml:space="preserve">Payment Dispute.</w:t>
      </w:r>
      <w:r>
        <w:t xml:space="preserve"> If any amount claimed as payable is disputed in good faith, the </w:t>
      </w:r>
      <w:r>
        <w:rPr>
          <w:b/>
          <w:bCs/>
        </w:rPr>
        <w:t xml:space="preserve">Customer</w:t>
      </w:r>
      <w:r>
        <w:t xml:space="preserve"> shall pay the undisputed portion and give a </w:t>
      </w:r>
      <w:r>
        <w:rPr>
          <w:b/>
          <w:bCs/>
        </w:rPr>
        <w:t xml:space="preserve">5 business days</w:t>
      </w:r>
      <w:r>
        <w:t xml:space="preserve"> notice specifying the basis of the dispute in reasonable detail.</w:t>
      </w:r>
    </w:p>
    <w:p>
      <w:pPr>
        <w:spacing w:after="180"/>
        <w:jc w:val="both"/>
      </w:pPr>
      <w:r>
        <w:t xml:space="preserve">Payments that are undisputed by the Customer within 5 business days of receipt are considered accepted.</w:t>
      </w:r>
    </w:p>
    <w:p>
      <w:pPr>
        <w:spacing w:after="180"/>
        <w:jc w:val="both"/>
      </w:pPr>
      <w:r>
        <w:rPr>
          <w:b/>
          <w:bCs/>
        </w:rPr>
        <w:t xml:space="preserve">Late Payments.</w:t>
      </w:r>
      <w:r>
        <w:t xml:space="preserve"> If the Customer does not pay invoices when due, interest on the unpaid amounts of </w:t>
      </w:r>
      <w:r>
        <w:rPr>
          <w:b/>
          <w:bCs/>
        </w:rPr>
        <w:t xml:space="preserve">0.5% per calendar day</w:t>
      </w:r>
      <w:r>
        <w:t xml:space="preserve"> will be charged starting the day after the payment becomes due.</w:t>
      </w:r>
    </w:p>
    <w:p>
      <w:pPr>
        <w:pStyle w:val="Heading2"/>
        <w:keepNext/>
        <w:spacing w:after="180" w:before="360"/>
      </w:pPr>
      <w:r>
        <w:t xml:space="preserve">How this clause works in practice</w:t>
      </w:r>
    </w:p>
    <w:p>
      <w:pPr>
        <w:spacing w:after="180"/>
        <w:jc w:val="both"/>
      </w:pPr>
      <w:r>
        <w:t xml:space="preserve">Defensive mechanism for two reasons:</w:t>
      </w:r>
    </w:p>
    <w:p>
      <w:pPr>
        <w:pStyle w:val="ListParagraph"/>
        <w:numPr>
          <w:ilvl w:val="0"/>
          <w:numId w:val="2"/>
        </w:numPr>
        <w:spacing w:after="60"/>
      </w:pPr>
      <w:r>
        <w:rPr>
          <w:b/>
          <w:bCs/>
        </w:rPr>
        <w:t xml:space="preserve">Psychological pressure.</w:t>
      </w:r>
      <w:r>
        <w:t xml:space="preserve"> 0.5%/day ≈ 180% annualized. Client</w:t>
      </w:r>
    </w:p>
    <w:p>
      <w:pPr>
        <w:spacing w:after="180"/>
        <w:jc w:val="both"/>
      </w:pPr>
      <w:r>
        <w:t xml:space="preserve">finance teams notice this number and bump our invoices up the payment queue.</w:t>
      </w:r>
    </w:p>
    <w:p>
      <w:pPr>
        <w:pStyle w:val="ListParagraph"/>
        <w:numPr>
          <w:ilvl w:val="0"/>
          <w:numId w:val="2"/>
        </w:numPr>
        <w:spacing w:after="60"/>
      </w:pPr>
      <w:r>
        <w:rPr>
          <w:b/>
          <w:bCs/>
        </w:rPr>
        <w:t xml:space="preserve">Legal footing.</w:t>
      </w:r>
      <w:r>
        <w:t xml:space="preserve"> If collection escalates to court, we have</w:t>
      </w:r>
    </w:p>
    <w:p>
      <w:pPr>
        <w:spacing w:after="180"/>
        <w:jc w:val="both"/>
      </w:pPr>
      <w:r>
        <w:t xml:space="preserve">a clean contractual basis for including interest in the claim, without renegotiation.</w:t>
      </w:r>
    </w:p>
    <w:p>
      <w:pPr>
        <w:pStyle w:val="Heading2"/>
        <w:keepNext/>
        <w:spacing w:after="180" w:before="360"/>
      </w:pPr>
      <w:r>
        <w:t xml:space="preserve">3. Non-solicitation</w:t>
      </w:r>
    </w:p>
    <w:p>
      <w:pPr>
        <w:spacing w:after="180"/>
        <w:jc w:val="both"/>
      </w:pPr>
      <w:r>
        <w:t xml:space="preserve">During the term of this agreement and for </w:t>
      </w:r>
      <w:r>
        <w:rPr>
          <w:b/>
          <w:bCs/>
        </w:rPr>
        <w:t xml:space="preserve">1 year</w:t>
      </w:r>
      <w:r>
        <w:t xml:space="preserve"> after its termination, the Customer shall not solicit, hire or encourage to leave employment any person who is an employee or subcontractor of the Contractor.</w:t>
      </w:r>
    </w:p>
    <w:p>
      <w:pPr>
        <w:spacing w:after="180"/>
        <w:jc w:val="both"/>
      </w:pPr>
      <w:r>
        <w:t xml:space="preserve">If any employee or subcontractor of the Contractor independently approaches the Customer about employment, the Customer shall immediately suspend such a request and notify the Contractor.</w:t>
      </w:r>
    </w:p>
    <w:p>
      <w:pPr>
        <w:pStyle w:val="Heading2"/>
        <w:keepNext/>
        <w:spacing w:after="180" w:before="360"/>
      </w:pPr>
      <w:r>
        <w:t xml:space="preserve">4. Deliverables and Intellectual Property</w:t>
      </w:r>
    </w:p>
    <w:p>
      <w:pPr>
        <w:spacing w:after="180"/>
        <w:jc w:val="both"/>
      </w:pPr>
      <w:r>
        <w:rPr>
          <w:b/>
          <w:bCs/>
        </w:rPr>
        <w:t xml:space="preserve">Final Works.</w:t>
      </w:r>
      <w:r>
        <w:t xml:space="preserve"> The Contractor transfers to the Customer all intellectual property rights (IP rights) in all materials developed for or provided to the Customer by the Contractor through the performance of Services (Deliverables), </w:t>
      </w:r>
      <w:r>
        <w:rPr>
          <w:b/>
          <w:bCs/>
        </w:rPr>
        <w:t xml:space="preserve">as necessary payments are made</w:t>
      </w:r>
      <w:r>
        <w:t xml:space="preserve"> during the agreement. If the agreement is terminated, the Contractor shall transfer all finished and unfinished Deliverables previously paid for.</w:t>
      </w:r>
    </w:p>
    <w:p>
      <w:pPr>
        <w:spacing w:after="180"/>
        <w:jc w:val="both"/>
      </w:pPr>
      <w:r>
        <w:rPr>
          <w:b/>
          <w:bCs/>
        </w:rPr>
        <w:t xml:space="preserve">No copyleft licenses.</w:t>
      </w:r>
      <w:r>
        <w:t xml:space="preserve"> The Contractor warrants that it has not included or used, and will not include or use, any Open-Source Software or any libraries or code licensed under the General Public License, AGPL, or any similar copyleft license in the Software, where such license would require the Customer to license the Software onwards or otherwise make it available to others, without the Customer's prior written consent.</w:t>
      </w:r>
    </w:p>
    <w:p>
      <w:pPr>
        <w:pStyle w:val="Heading2"/>
        <w:keepNext/>
        <w:spacing w:after="180" w:before="360"/>
      </w:pPr>
      <w:r>
        <w:t xml:space="preserve">How this works in practice</w:t>
      </w:r>
    </w:p>
    <w:p>
      <w:pPr>
        <w:spacing w:after="180"/>
        <w:jc w:val="both"/>
      </w:pPr>
      <w:r>
        <w:t xml:space="preserve">Three principled differences from the subcontract version:</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Aspect</w:t>
            </w:r>
          </w:p>
        </w:tc>
        <w:tc>
          <w:tcPr>
            <w:tcW w:type="pct" w:w="50%"/>
            <w:shd w:fill="EEE9D4" w:val="clear"/>
            <w:tcMar>
              <w:top w:type="dxa" w:w="80"/>
              <w:left w:type="dxa" w:w="120"/>
              <w:bottom w:type="dxa" w:w="80"/>
              <w:right w:type="dxa" w:w="120"/>
            </w:tcMar>
          </w:tcPr>
          <w:p>
            <w:pPr>
              <w:spacing w:after="60" w:before="60"/>
            </w:pPr>
            <w:r>
              <w:rPr>
                <w:b/>
                <w:bCs/>
                <w:sz w:val="20"/>
                <w:szCs w:val="20"/>
              </w:rPr>
              <w:t xml:space="preserve">Subcontract (Dev)</w:t>
            </w:r>
          </w:p>
        </w:tc>
        <w:tc>
          <w:tcPr>
            <w:tcW w:type="pct" w:w="50%"/>
            <w:shd w:fill="EEE9D4" w:val="clear"/>
            <w:tcMar>
              <w:top w:type="dxa" w:w="80"/>
              <w:left w:type="dxa" w:w="120"/>
              <w:bottom w:type="dxa" w:w="80"/>
              <w:right w:type="dxa" w:w="120"/>
            </w:tcMar>
          </w:tcPr>
          <w:p>
            <w:pPr>
              <w:spacing w:after="60" w:before="60"/>
            </w:pPr>
            <w:r>
              <w:rPr>
                <w:b/>
                <w:bCs/>
                <w:sz w:val="20"/>
                <w:szCs w:val="20"/>
              </w:rPr>
              <w:t xml:space="preserve">Services Agreement</w:t>
            </w:r>
          </w:p>
        </w:tc>
      </w:tr>
      <w:tr>
        <w:tc>
          <w:tcPr>
            <w:tcW w:type="pct" w:w="50%"/>
            <w:tcMar>
              <w:top w:type="dxa" w:w="80"/>
              <w:left w:type="dxa" w:w="120"/>
              <w:bottom w:type="dxa" w:w="80"/>
              <w:right w:type="dxa" w:w="120"/>
            </w:tcMar>
          </w:tcPr>
          <w:p>
            <w:pPr>
              <w:spacing w:after="60" w:before="60"/>
            </w:pPr>
            <w:r>
              <w:rPr>
                <w:b w:val="false"/>
                <w:bCs w:val="false"/>
                <w:sz w:val="20"/>
                <w:szCs w:val="20"/>
              </w:rPr>
              <w:t xml:space="preserve">Direction</w:t>
            </w:r>
          </w:p>
        </w:tc>
        <w:tc>
          <w:tcPr>
            <w:tcW w:type="pct" w:w="50%"/>
            <w:tcMar>
              <w:top w:type="dxa" w:w="80"/>
              <w:left w:type="dxa" w:w="120"/>
              <w:bottom w:type="dxa" w:w="80"/>
              <w:right w:type="dxa" w:w="120"/>
            </w:tcMar>
          </w:tcPr>
          <w:p>
            <w:pPr>
              <w:spacing w:after="60" w:before="60"/>
            </w:pPr>
            <w:r>
              <w:rPr>
                <w:b w:val="false"/>
                <w:bCs w:val="false"/>
                <w:sz w:val="20"/>
                <w:szCs w:val="20"/>
              </w:rPr>
              <w:t xml:space="preserve">Subcontractor → Contractor</w:t>
            </w:r>
          </w:p>
        </w:tc>
        <w:tc>
          <w:tcPr>
            <w:tcW w:type="pct" w:w="50%"/>
            <w:tcMar>
              <w:top w:type="dxa" w:w="80"/>
              <w:left w:type="dxa" w:w="120"/>
              <w:bottom w:type="dxa" w:w="80"/>
              <w:right w:type="dxa" w:w="120"/>
            </w:tcMar>
          </w:tcPr>
          <w:p>
            <w:pPr>
              <w:spacing w:after="60" w:before="60"/>
            </w:pPr>
            <w:r>
              <w:rPr>
                <w:b w:val="false"/>
                <w:bCs w:val="false"/>
                <w:sz w:val="20"/>
                <w:szCs w:val="20"/>
              </w:rPr>
              <w:t xml:space="preserve">Contractor → 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Transfer timing</w:t>
            </w:r>
          </w:p>
        </w:tc>
        <w:tc>
          <w:tcPr>
            <w:tcW w:type="pct" w:w="50%"/>
            <w:tcMar>
              <w:top w:type="dxa" w:w="80"/>
              <w:left w:type="dxa" w:w="120"/>
              <w:bottom w:type="dxa" w:w="80"/>
              <w:right w:type="dxa" w:w="120"/>
            </w:tcMar>
          </w:tcPr>
          <w:p>
            <w:pPr>
              <w:spacing w:after="60" w:before="60"/>
            </w:pPr>
            <w:r>
              <w:rPr>
                <w:b w:val="false"/>
                <w:bCs w:val="false"/>
                <w:sz w:val="20"/>
                <w:szCs w:val="20"/>
              </w:rPr>
              <w:t xml:space="preserve">Exclusively after full payment of all fees</w:t>
            </w:r>
          </w:p>
        </w:tc>
        <w:tc>
          <w:tcPr>
            <w:tcW w:type="pct" w:w="50%"/>
            <w:tcMar>
              <w:top w:type="dxa" w:w="80"/>
              <w:left w:type="dxa" w:w="120"/>
              <w:bottom w:type="dxa" w:w="80"/>
              <w:right w:type="dxa" w:w="120"/>
            </w:tcMar>
          </w:tcPr>
          <w:p>
            <w:pPr>
              <w:spacing w:after="60" w:before="60"/>
            </w:pPr>
            <w:r>
              <w:rPr>
                <w:b w:val="false"/>
                <w:bCs w:val="false"/>
                <w:sz w:val="20"/>
                <w:szCs w:val="20"/>
              </w:rPr>
              <w:t xml:space="preserve">Rolling, as payments are made</w:t>
            </w:r>
          </w:p>
        </w:tc>
      </w:tr>
      <w:tr>
        <w:tc>
          <w:tcPr>
            <w:tcW w:type="pct" w:w="50%"/>
            <w:tcMar>
              <w:top w:type="dxa" w:w="80"/>
              <w:left w:type="dxa" w:w="120"/>
              <w:bottom w:type="dxa" w:w="80"/>
              <w:right w:type="dxa" w:w="120"/>
            </w:tcMar>
          </w:tcPr>
          <w:p>
            <w:pPr>
              <w:spacing w:after="60" w:before="60"/>
            </w:pPr>
            <w:r>
              <w:rPr>
                <w:b w:val="false"/>
                <w:bCs w:val="false"/>
                <w:sz w:val="20"/>
                <w:szCs w:val="20"/>
              </w:rPr>
              <w:t xml:space="preserve">On termination</w:t>
            </w:r>
          </w:p>
        </w:tc>
        <w:tc>
          <w:tcPr>
            <w:tcW w:type="pct" w:w="50%"/>
            <w:tcMar>
              <w:top w:type="dxa" w:w="80"/>
              <w:left w:type="dxa" w:w="120"/>
              <w:bottom w:type="dxa" w:w="80"/>
              <w:right w:type="dxa" w:w="120"/>
            </w:tcMar>
          </w:tcPr>
          <w:p>
            <w:pPr>
              <w:spacing w:after="60" w:before="60"/>
            </w:pPr>
            <w:r>
              <w:rPr>
                <w:b w:val="false"/>
                <w:bCs w:val="false"/>
                <w:sz w:val="20"/>
                <w:szCs w:val="20"/>
              </w:rPr>
              <w:t xml:space="preserve">—</w:t>
            </w:r>
          </w:p>
        </w:tc>
        <w:tc>
          <w:tcPr>
            <w:tcW w:type="pct" w:w="50%"/>
            <w:tcMar>
              <w:top w:type="dxa" w:w="80"/>
              <w:left w:type="dxa" w:w="120"/>
              <w:bottom w:type="dxa" w:w="80"/>
              <w:right w:type="dxa" w:w="120"/>
            </w:tcMar>
          </w:tcPr>
          <w:p>
            <w:pPr>
              <w:spacing w:after="60" w:before="60"/>
            </w:pPr>
            <w:r>
              <w:rPr>
                <w:b w:val="false"/>
                <w:bCs w:val="false"/>
                <w:sz w:val="20"/>
                <w:szCs w:val="20"/>
              </w:rPr>
              <w:t xml:space="preserve">We transfer all paid-for work, including unfinished</w:t>
            </w:r>
          </w:p>
        </w:tc>
      </w:tr>
    </w:tbl>
    <w:p>
      <w:pPr>
        <w:spacing w:after="160" w:before="0"/>
      </w:pPr>
      <w:r>
        <w:t xml:space="preserve"/>
      </w:r>
    </w:p>
    <w:p>
      <w:pPr>
        <w:spacing w:after="180"/>
        <w:jc w:val="both"/>
      </w:pPr>
      <w:r>
        <w:rPr>
          <w:b/>
          <w:bCs/>
        </w:rPr>
        <w:t xml:space="preserve">Rolling IP transfer</w:t>
      </w:r>
      <w:r>
        <w:t xml:space="preserve"> is the important change. The client gets rights </w:t>
      </w:r>
      <w:r>
        <w:rPr>
          <w:b/>
          <w:bCs/>
        </w:rPr>
        <w:t xml:space="preserve">progressively as they pay</w:t>
      </w:r>
      <w:r>
        <w:t xml:space="preserve">, not "all or nothing after the last invoice." This protects the client if we stop working mid- project for any reason — they retain rights to what they paid for and can continue development with another contractor.</w:t>
      </w:r>
    </w:p>
    <w:p>
      <w:pPr>
        <w:pStyle w:val="Heading2"/>
        <w:keepNext/>
        <w:spacing w:after="180" w:before="360"/>
      </w:pPr>
      <w:r>
        <w:t xml:space="preserve">5. Publicity</w:t>
      </w:r>
    </w:p>
    <w:p>
      <w:pPr>
        <w:spacing w:after="180"/>
        <w:jc w:val="both"/>
      </w:pPr>
      <w:r>
        <w:t xml:space="preserve">The Contractor may mention a general description of the services provided to the Customer on the Contractor's website for marketing purposes only, and only with the Customer's prior written consent.</w:t>
      </w:r>
    </w:p>
    <w:p>
      <w:pPr>
        <w:pStyle w:val="Heading2"/>
        <w:keepNext/>
        <w:spacing w:after="180" w:before="360"/>
      </w:pPr>
      <w:r>
        <w:t xml:space="preserve">6. Term and Termination</w:t>
      </w:r>
    </w:p>
    <w:p>
      <w:pPr>
        <w:spacing w:after="180"/>
        <w:jc w:val="both"/>
      </w:pPr>
      <w:r>
        <w:rPr>
          <w:b/>
          <w:bCs/>
        </w:rPr>
        <w:t xml:space="preserve">Term.</w:t>
      </w:r>
      <w:r>
        <w:t xml:space="preserve"> This agreement takes effect on the Start date and continues until terminated by either party in accordance with the terms below.</w:t>
      </w:r>
    </w:p>
    <w:p>
      <w:pPr>
        <w:spacing w:after="180"/>
        <w:jc w:val="both"/>
      </w:pPr>
      <w:r>
        <w:rPr>
          <w:b/>
          <w:bCs/>
        </w:rPr>
        <w:t xml:space="preserve">At-will termination.</w:t>
      </w:r>
      <w:r>
        <w:t xml:space="preserve"> Either party may terminate this agreement at any time, without cause, by giving the other party </w:t>
      </w:r>
      <w:r>
        <w:rPr>
          <w:b/>
          <w:bCs/>
        </w:rPr>
        <w:t xml:space="preserve">30 calendar days</w:t>
      </w:r>
      <w:r>
        <w:t xml:space="preserve"> prior written notice.</w:t>
      </w:r>
    </w:p>
    <w:p>
      <w:pPr>
        <w:spacing w:after="180"/>
        <w:jc w:val="both"/>
      </w:pPr>
      <w:r>
        <w:rPr>
          <w:b/>
          <w:bCs/>
        </w:rPr>
        <w:t xml:space="preserve">Shortened notice.</w:t>
      </w:r>
      <w:r>
        <w:t xml:space="preserve"> After the initial 30-day notice period, the parties may move to </w:t>
      </w:r>
      <w:r>
        <w:rPr>
          <w:b/>
          <w:bCs/>
        </w:rPr>
        <w:t xml:space="preserve">14-day</w:t>
      </w:r>
      <w:r>
        <w:t xml:space="preserve"> notice for any further amendments or terminations within the scope of this agreement.</w:t>
      </w:r>
    </w:p>
    <w:p>
      <w:pPr>
        <w:pStyle w:val="Heading2"/>
        <w:keepNext/>
        <w:spacing w:after="180" w:before="360"/>
      </w:pPr>
      <w:r>
        <w:t xml:space="preserve">7. Limitation of Liability and Indemnification</w:t>
      </w:r>
    </w:p>
    <w:p>
      <w:pPr>
        <w:spacing w:after="180"/>
        <w:jc w:val="both"/>
      </w:pPr>
      <w:r>
        <w:rPr>
          <w:b/>
          <w:bCs/>
        </w:rPr>
        <w:t xml:space="preserve">Mutual Indemnification.</w:t>
      </w:r>
      <w:r>
        <w:t xml:space="preserve"> Each party (as an indemnifying party) shall indemnify the other (as an indemnified party) against all losses arising out of:</w:t>
      </w:r>
    </w:p>
    <w:p>
      <w:pPr>
        <w:pStyle w:val="ListParagraph"/>
        <w:numPr>
          <w:ilvl w:val="0"/>
          <w:numId w:val="1"/>
        </w:numPr>
        <w:spacing w:after="60"/>
      </w:pPr>
      <w:r>
        <w:t xml:space="preserve">any proceeding brought by either a third party or an</w:t>
      </w:r>
    </w:p>
    <w:p>
      <w:pPr>
        <w:spacing w:after="180"/>
        <w:jc w:val="both"/>
      </w:pPr>
      <w:r>
        <w:t xml:space="preserve">indemnified party; and</w:t>
      </w:r>
    </w:p>
    <w:p>
      <w:pPr>
        <w:pStyle w:val="ListParagraph"/>
        <w:numPr>
          <w:ilvl w:val="0"/>
          <w:numId w:val="1"/>
        </w:numPr>
        <w:spacing w:after="60"/>
      </w:pPr>
      <w:r>
        <w:t xml:space="preserve">the indemnifying party's wilful misconduct or gross</w:t>
      </w:r>
    </w:p>
    <w:p>
      <w:pPr>
        <w:spacing w:after="180"/>
        <w:jc w:val="both"/>
      </w:pPr>
      <w:r>
        <w:t xml:space="preserve">negligence.</w:t>
      </w:r>
    </w:p>
    <w:p>
      <w:pPr>
        <w:spacing w:after="180"/>
        <w:jc w:val="both"/>
      </w:pPr>
      <w:r>
        <w:rPr>
          <w:b/>
          <w:bCs/>
        </w:rPr>
        <w:t xml:space="preserve">Mutual Limit on Liability.</w:t>
      </w:r>
      <w:r>
        <w:t xml:space="preserve"> Neither party shall be liable for breach-of-contract damages suffered by the other party that are remote or that could not have reasonably been foreseen on entry into this agreement.</w:t>
      </w:r>
    </w:p>
    <w:p>
      <w:pPr>
        <w:spacing w:after="180"/>
        <w:jc w:val="both"/>
      </w:pPr>
      <w:r>
        <w:rPr>
          <w:b/>
          <w:bCs/>
        </w:rPr>
        <w:t xml:space="preserve">Maximum Liability.</w:t>
      </w:r>
      <w:r>
        <w:t xml:space="preserve"> The Subcontractor's (or Contractor's in a client agreement) liability under this agreement shall not exceed the fees paid under this agreement during the </w:t>
      </w:r>
      <w:r>
        <w:rPr>
          <w:b/>
          <w:bCs/>
        </w:rPr>
        <w:t xml:space="preserve">12 months</w:t>
      </w:r>
      <w:r>
        <w:t xml:space="preserve"> preceding the date upon which the related claim arose.</w:t>
      </w:r>
    </w:p>
    <w:p>
      <w:pPr>
        <w:pStyle w:val="Heading2"/>
        <w:keepNext/>
        <w:spacing w:after="180" w:before="360"/>
      </w:pPr>
      <w:r>
        <w:t xml:space="preserve">8. Effect of Termination</w:t>
      </w:r>
    </w:p>
    <w:p>
      <w:pPr>
        <w:spacing w:after="180"/>
        <w:jc w:val="both"/>
      </w:pPr>
      <w:r>
        <w:rPr>
          <w:b/>
          <w:bCs/>
        </w:rPr>
        <w:t xml:space="preserve">Payment Obligations.</w:t>
      </w:r>
      <w:r>
        <w:t xml:space="preserve"> Upon the expiration or termination of this agreement, each party shall pay any amounts it owes to the other party, including payment obligations for Services already rendered, or refund any payments received but not yet earned, including payments for Services not rendered.</w:t>
      </w:r>
    </w:p>
    <w:p>
      <w:pPr>
        <w:spacing w:after="180"/>
        <w:jc w:val="both"/>
      </w:pPr>
      <w:r>
        <w:rPr>
          <w:b/>
          <w:bCs/>
        </w:rPr>
        <w:t xml:space="preserve">Performer Obligations.</w:t>
      </w:r>
      <w:r>
        <w:t xml:space="preserve"> Upon receipt of notice of such termination, the Subcontractor (Subcontractor or Contractor, depending on the agreement type) shall promptly terminate all Services in progress, inform the principal of the extent to which performance has been completed, and deliver to the principal whatever Deliverables produced in the performance of the Services.</w:t>
      </w:r>
    </w:p>
    <w:p>
      <w:pPr>
        <w:spacing w:after="180"/>
        <w:jc w:val="both"/>
      </w:pPr>
      <w:r>
        <w:rPr>
          <w:b/>
          <w:bCs/>
        </w:rPr>
        <w:t xml:space="preserve">Survival.</w:t>
      </w:r>
      <w:r>
        <w:t xml:space="preserve"> Upon the termination of this agreement, the obligations of the Parties regarding </w:t>
      </w:r>
      <w:r>
        <w:rPr>
          <w:b/>
          <w:bCs/>
        </w:rPr>
        <w:t xml:space="preserve">intellectual property, confidentiality, non-solicitation and non-compete</w:t>
      </w:r>
      <w:r>
        <w:t xml:space="preserve"> shall survive.</w:t>
      </w:r>
    </w:p>
    <w:p>
      <w:pPr>
        <w:pStyle w:val="Heading2"/>
        <w:keepNext/>
        <w:spacing w:after="180" w:before="360"/>
      </w:pPr>
      <w:r>
        <w:t xml:space="preserve">Three separate obligations</w:t>
      </w:r>
    </w:p>
    <w:p>
      <w:pPr>
        <w:spacing w:after="180"/>
        <w:jc w:val="both"/>
      </w:pPr>
      <w:r>
        <w:t xml:space="preserve">This clause breaks into three independent duties:</w:t>
      </w:r>
    </w:p>
    <w:p>
      <w:pPr>
        <w:pStyle w:val="Heading3"/>
        <w:keepNext/>
        <w:spacing w:after="120" w:before="240"/>
      </w:pPr>
      <w:r>
        <w:t xml:space="preserve">1. Settlement (Payment Obligations)</w:t>
      </w:r>
    </w:p>
    <w:p>
      <w:pPr>
        <w:spacing w:after="180"/>
        <w:jc w:val="both"/>
      </w:pPr>
      <w:r>
        <w:t xml:space="preserve">"Who owes, pays. Who got too much, refunds." A symmetric rule that works in both directions:</w:t>
      </w:r>
    </w:p>
    <w:p>
      <w:pPr>
        <w:pStyle w:val="ListParagraph"/>
        <w:numPr>
          <w:ilvl w:val="0"/>
          <w:numId w:val="1"/>
        </w:numPr>
        <w:spacing w:after="60"/>
      </w:pPr>
      <w:r>
        <w:rPr>
          <w:b/>
          <w:bCs/>
        </w:rPr>
        <w:t xml:space="preserve">Our debt</w:t>
      </w:r>
      <w:r>
        <w:t xml:space="preserve"> — if we haven't paid for work done before</w:t>
      </w:r>
    </w:p>
    <w:p>
      <w:pPr>
        <w:spacing w:after="180"/>
        <w:jc w:val="both"/>
      </w:pPr>
      <w:r>
        <w:t xml:space="preserve">termination, we must settle.</w:t>
      </w:r>
    </w:p>
    <w:p>
      <w:pPr>
        <w:pStyle w:val="ListParagraph"/>
        <w:numPr>
          <w:ilvl w:val="0"/>
          <w:numId w:val="1"/>
        </w:numPr>
        <w:spacing w:after="60"/>
      </w:pPr>
      <w:r>
        <w:rPr>
          <w:b/>
          <w:bCs/>
        </w:rPr>
        <w:t xml:space="preserve">Their debt</w:t>
      </w:r>
      <w:r>
        <w:t xml:space="preserve"> — if we pre-paid for work not yet done, they</w:t>
      </w:r>
    </w:p>
    <w:p>
      <w:pPr>
        <w:spacing w:after="180"/>
        <w:jc w:val="both"/>
      </w:pPr>
      <w:r>
        <w:t xml:space="preserve">refund (or we agree to credit against future projects).</w:t>
      </w:r>
    </w:p>
    <w:p>
      <w:pPr>
        <w:pStyle w:val="Heading3"/>
        <w:keepNext/>
        <w:spacing w:after="120" w:before="240"/>
      </w:pPr>
      <w:r>
        <w:t xml:space="preserve">2. Handover (Performer obligations)</w:t>
      </w:r>
    </w:p>
    <w:p>
      <w:pPr>
        <w:spacing w:after="180"/>
        <w:jc w:val="both"/>
      </w:pPr>
      <w:r>
        <w:t xml:space="preserve">Immediate stop + status report + delivery. Three actions that must happen the day notice is received:</w:t>
      </w:r>
    </w:p>
    <w:p>
      <w:pPr>
        <w:pStyle w:val="ListParagraph"/>
        <w:numPr>
          <w:ilvl w:val="0"/>
          <w:numId w:val="1"/>
        </w:numPr>
        <w:spacing w:after="60"/>
      </w:pPr>
      <w:r>
        <w:rPr>
          <w:b/>
          <w:bCs/>
        </w:rPr>
        <w:t xml:space="preserve">Stop</w:t>
      </w:r>
      <w:r>
        <w:t xml:space="preserve"> — the performer takes on no new tasks</w:t>
      </w:r>
    </w:p>
    <w:p>
      <w:pPr>
        <w:pStyle w:val="ListParagraph"/>
        <w:numPr>
          <w:ilvl w:val="0"/>
          <w:numId w:val="1"/>
        </w:numPr>
        <w:spacing w:after="60"/>
      </w:pPr>
      <w:r>
        <w:rPr>
          <w:b/>
          <w:bCs/>
        </w:rPr>
        <w:t xml:space="preserve">Report</w:t>
      </w:r>
      <w:r>
        <w:t xml:space="preserve"> — what's done, what's in progress, what's not started</w:t>
      </w:r>
    </w:p>
    <w:p>
      <w:pPr>
        <w:pStyle w:val="ListParagraph"/>
        <w:numPr>
          <w:ilvl w:val="0"/>
          <w:numId w:val="1"/>
        </w:numPr>
        <w:spacing w:after="60"/>
      </w:pPr>
      <w:r>
        <w:rPr>
          <w:b/>
          <w:bCs/>
        </w:rPr>
        <w:t xml:space="preserve">Deliver</w:t>
      </w:r>
      <w:r>
        <w:t xml:space="preserve"> — all work product (code, docs, access) transfers</w:t>
      </w:r>
    </w:p>
    <w:p>
      <w:pPr>
        <w:spacing w:after="180"/>
        <w:jc w:val="both"/>
      </w:pPr>
      <w:r>
        <w:t xml:space="preserve">to the principal</w:t>
      </w:r>
    </w:p>
    <w:p>
      <w:pPr>
        <w:spacing w:after="180"/>
        <w:jc w:val="both"/>
      </w:pPr>
      <w:r>
        <w:t xml:space="preserve">If the performer ignores this clause, we have legal grounds to demand performance and to withhold the final payment until handover is complete.</w:t>
      </w:r>
    </w:p>
    <w:p>
      <w:pPr>
        <w:pStyle w:val="Heading3"/>
        <w:keepNext/>
        <w:spacing w:after="120" w:before="240"/>
      </w:pPr>
      <w:r>
        <w:t xml:space="preserve">3. Survival</w:t>
      </w:r>
    </w:p>
    <w:p>
      <w:pPr>
        <w:spacing w:after="180"/>
        <w:jc w:val="both"/>
      </w:pPr>
      <w:r>
        <w:t xml:space="preserve">What stays in force after the agreement ends:</w:t>
      </w:r>
    </w:p>
    <w:p>
      <w:pPr>
        <w:pStyle w:val="ListParagraph"/>
        <w:numPr>
          <w:ilvl w:val="0"/>
          <w:numId w:val="1"/>
        </w:numPr>
        <w:spacing w:after="60"/>
      </w:pPr>
      <w:r>
        <w:rPr>
          <w:b/>
          <w:bCs/>
        </w:rPr>
        <w:t xml:space="preserve">IP</w:t>
      </w:r>
      <w:r>
        <w:t xml:space="preserve"> — rights to delivered Deliverables remain with the</w:t>
      </w:r>
    </w:p>
    <w:p>
      <w:pPr>
        <w:spacing w:after="180"/>
        <w:jc w:val="both"/>
      </w:pPr>
      <w:r>
        <w:t xml:space="preserve">principal</w:t>
      </w:r>
    </w:p>
    <w:p>
      <w:pPr>
        <w:pStyle w:val="ListParagraph"/>
        <w:numPr>
          <w:ilvl w:val="0"/>
          <w:numId w:val="1"/>
        </w:numPr>
        <w:spacing w:after="60"/>
      </w:pPr>
      <w:r>
        <w:rPr>
          <w:b/>
          <w:bCs/>
        </w:rPr>
        <w:t xml:space="preserve">Confidentiality</w:t>
      </w:r>
      <w:r>
        <w:t xml:space="preserve"> — anything disclosed remains confidential</w:t>
      </w:r>
    </w:p>
    <w:p>
      <w:pPr>
        <w:spacing w:after="180"/>
        <w:jc w:val="both"/>
      </w:pPr>
      <w:r>
        <w:t xml:space="preserve">(per Mutual Confidentiality terms)</w:t>
      </w:r>
    </w:p>
    <w:p>
      <w:pPr>
        <w:pStyle w:val="ListParagraph"/>
        <w:numPr>
          <w:ilvl w:val="0"/>
          <w:numId w:val="1"/>
        </w:numPr>
        <w:spacing w:after="60"/>
      </w:pPr>
      <w:r>
        <w:rPr>
          <w:b/>
          <w:bCs/>
        </w:rPr>
        <w:t xml:space="preserve">Non-solicitation</w:t>
      </w:r>
      <w:r>
        <w:t xml:space="preserve"> — 1 year in subcontracts runs from Start</w:t>
      </w:r>
    </w:p>
    <w:p>
      <w:pPr>
        <w:spacing w:after="180"/>
        <w:jc w:val="both"/>
      </w:pPr>
      <w:r>
        <w:t xml:space="preserve">date, not from termination</w:t>
      </w:r>
    </w:p>
    <w:p>
      <w:pPr>
        <w:pStyle w:val="ListParagraph"/>
        <w:numPr>
          <w:ilvl w:val="0"/>
          <w:numId w:val="1"/>
        </w:numPr>
        <w:spacing w:after="60"/>
      </w:pPr>
      <w:r>
        <w:rPr>
          <w:b/>
          <w:bCs/>
        </w:rPr>
        <w:t xml:space="preserve">Non-compete</w:t>
      </w:r>
      <w:r>
        <w:t xml:space="preserve"> — same</w:t>
      </w:r>
    </w:p>
    <w:p>
      <w:pPr>
        <w:spacing w:after="180"/>
        <w:jc w:val="both"/>
      </w:pPr>
      <w:r>
        <w:t xml:space="preserve">Survival is the key mechanism that makes a clean termination possible: if you exit, you don't walk away with the IP, clients, confidential information, or the right to poach.</w:t>
      </w:r>
    </w:p>
    <w:p>
      <w:pPr>
        <w:pStyle w:val="Heading2"/>
        <w:keepNext/>
        <w:spacing w:after="180" w:before="360"/>
      </w:pPr>
      <w:r>
        <w:t xml:space="preserve">9. Dispute Resolution</w:t>
      </w:r>
    </w:p>
    <w:p>
      <w:pPr>
        <w:spacing w:after="180"/>
        <w:jc w:val="both"/>
      </w:pPr>
      <w:r>
        <w:rPr>
          <w:b/>
          <w:bCs/>
        </w:rPr>
        <w:t xml:space="preserve">Negotiation.</w:t>
      </w:r>
      <w:r>
        <w:t xml:space="preserve"> In case of any controversy or claim arising out of this agreement, the parties shall consult and negotiate with each other and attempt to reach a mutually satisfactory solution.</w:t>
      </w:r>
    </w:p>
    <w:p>
      <w:pPr>
        <w:spacing w:after="180"/>
        <w:jc w:val="both"/>
      </w:pPr>
      <w:r>
        <w:rPr>
          <w:b/>
          <w:bCs/>
        </w:rPr>
        <w:t xml:space="preserve">Choice of forum.</w:t>
      </w:r>
      <w:r>
        <w:t xml:space="preserve"> If the parties do not reach a settlement within a period of </w:t>
      </w:r>
      <w:r>
        <w:rPr>
          <w:b/>
          <w:bCs/>
        </w:rPr>
        <w:t xml:space="preserve">60 days</w:t>
      </w:r>
      <w:r>
        <w:t xml:space="preserve">, any unresolved controversy or claim shall be settled in the </w:t>
      </w:r>
      <w:r>
        <w:rPr>
          <w:b/>
          <w:bCs/>
        </w:rPr>
        <w:t xml:space="preserve">courts of England and Wales</w:t>
      </w:r>
      <w:r>
        <w:t xml:space="preserve">.</w:t>
      </w:r>
    </w:p>
    <w:p>
      <w:pPr>
        <w:pStyle w:val="Heading2"/>
        <w:keepNext/>
        <w:spacing w:after="180" w:before="360"/>
      </w:pPr>
      <w:r>
        <w:t xml:space="preserve">10. Signatures</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Acme Services GmbH</w:t>
            </w:r>
          </w:p>
        </w:tc>
        <w:tc>
          <w:tcPr>
            <w:tcW w:type="pct" w:w="50%"/>
            <w:shd w:fill="EEE9D4" w:val="clear"/>
            <w:tcMar>
              <w:top w:type="dxa" w:w="80"/>
              <w:left w:type="dxa" w:w="120"/>
              <w:bottom w:type="dxa" w:w="80"/>
              <w:right w:type="dxa" w:w="120"/>
            </w:tcMar>
          </w:tcPr>
          <w:p>
            <w:pPr>
              <w:spacing w:after="60" w:before="60"/>
            </w:pPr>
            <w:r>
              <w:rPr>
                <w:b/>
                <w:bCs/>
                <w:sz w:val="20"/>
                <w:szCs w:val="20"/>
              </w:rPr>
              <w:t xml:space="preserve">Customer</w:t>
            </w:r>
          </w:p>
        </w:tc>
      </w:tr>
      <w:tr>
        <w:tc>
          <w:tcPr>
            <w:tcW w:type="pct" w:w="50%"/>
            <w:tcMar>
              <w:top w:type="dxa" w:w="80"/>
              <w:left w:type="dxa" w:w="120"/>
              <w:bottom w:type="dxa" w:w="80"/>
              <w:right w:type="dxa" w:w="120"/>
            </w:tcMar>
          </w:tcPr>
          <w:p>
            <w:pPr>
              <w:spacing w:after="60" w:before="60"/>
            </w:pPr>
            <w:r>
              <w:rPr>
                <w:b w:val="false"/>
                <w:bCs w:val="false"/>
                <w:sz w:val="20"/>
                <w:szCs w:val="20"/>
              </w:rPr>
              <w:t xml:space="preserve">Registry code: HRB123456X / VAT ID: DE999888777</w:t>
            </w:r>
          </w:p>
        </w:tc>
        <w:tc>
          <w:tcPr>
            <w:tcW w:type="pct" w:w="50%"/>
            <w:tcMar>
              <w:top w:type="dxa" w:w="80"/>
              <w:left w:type="dxa" w:w="120"/>
              <w:bottom w:type="dxa" w:w="80"/>
              <w:right w:type="dxa" w:w="120"/>
            </w:tcMar>
          </w:tcPr>
          <w:p>
            <w:pPr>
              <w:spacing w:after="60" w:before="60"/>
            </w:pPr>
            <w:r>
              <w:rPr>
                <w:b w:val="false"/>
                <w:bCs w:val="false"/>
                <w:sz w:val="20"/>
                <w:szCs w:val="20"/>
              </w:rPr>
              <w:t xml:space="preserve">Company ID / VAT ID: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Jurisdiction: Germany</w:t>
            </w:r>
          </w:p>
        </w:tc>
        <w:tc>
          <w:tcPr>
            <w:tcW w:type="pct" w:w="50%"/>
            <w:tcMar>
              <w:top w:type="dxa" w:w="80"/>
              <w:left w:type="dxa" w:w="120"/>
              <w:bottom w:type="dxa" w:w="80"/>
              <w:right w:type="dxa" w:w="120"/>
            </w:tcMar>
          </w:tcPr>
          <w:p>
            <w:pPr>
              <w:spacing w:after="60" w:before="60"/>
            </w:pPr>
            <w:r>
              <w:rPr>
                <w:b w:val="false"/>
                <w:bCs w:val="false"/>
                <w:sz w:val="20"/>
                <w:szCs w:val="20"/>
              </w:rPr>
              <w:t xml:space="preserve">Jurisdiction: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Address: Musterstraße 1, Berlin, 10115, Germany</w:t>
            </w:r>
          </w:p>
        </w:tc>
        <w:tc>
          <w:tcPr>
            <w:tcW w:type="pct" w:w="50%"/>
            <w:tcMar>
              <w:top w:type="dxa" w:w="80"/>
              <w:left w:type="dxa" w:w="120"/>
              <w:bottom w:type="dxa" w:w="80"/>
              <w:right w:type="dxa" w:w="120"/>
            </w:tcMar>
          </w:tcPr>
          <w:p>
            <w:pPr>
              <w:spacing w:after="60" w:before="60"/>
            </w:pPr>
            <w:r>
              <w:rPr>
                <w:b w:val="false"/>
                <w:bCs w:val="false"/>
                <w:sz w:val="20"/>
                <w:szCs w:val="20"/>
              </w:rPr>
              <w:t xml:space="preserve">Address: ___________</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c>
          <w:tcPr>
            <w:tcW w:type="pct" w:w="50%"/>
            <w:tcMar>
              <w:top w:type="dxa" w:w="80"/>
              <w:left w:type="dxa" w:w="120"/>
              <w:bottom w:type="dxa" w:w="80"/>
              <w:right w:type="dxa" w:w="120"/>
            </w:tcMar>
          </w:tcPr>
          <w:p>
            <w:pPr>
              <w:spacing w:after="60" w:before="60"/>
            </w:pPr>
            <w:r>
              <w:rPr>
                <w:b/>
                <w:bCs/>
                <w:sz w:val="20"/>
                <w:szCs w:val="20"/>
              </w:rPr>
              <w:t xml:space="preserve">Signature:</w:t>
            </w:r>
            <w:r>
              <w:rPr>
                <w:b w:val="false"/>
                <w:bCs w:val="false"/>
                <w:sz w:val="20"/>
                <w:szCs w:val="20"/>
              </w:rPr>
              <w:t xml:space="preserve"> ___________</w:t>
            </w:r>
          </w:p>
        </w:tc>
      </w:tr>
      <w:tr>
        <w:tc>
          <w:tcPr>
            <w:tcW w:type="pct" w:w="50%"/>
            <w:tcMar>
              <w:top w:type="dxa" w:w="80"/>
              <w:left w:type="dxa" w:w="120"/>
              <w:bottom w:type="dxa" w:w="80"/>
              <w:right w:type="dxa" w:w="120"/>
            </w:tcMar>
          </w:tcPr>
          <w:p>
            <w:pPr>
              <w:spacing w:after="60" w:before="60"/>
            </w:pPr>
            <w:r>
              <w:rPr>
                <w:b/>
                <w:bCs/>
                <w:sz w:val="20"/>
                <w:szCs w:val="20"/>
              </w:rPr>
              <w:t xml:space="preserve">Jana Weber, Director</w:t>
            </w:r>
          </w:p>
        </w:tc>
        <w:tc>
          <w:tcPr>
            <w:tcW w:type="pct" w:w="50%"/>
            <w:tcMar>
              <w:top w:type="dxa" w:w="80"/>
              <w:left w:type="dxa" w:w="120"/>
              <w:bottom w:type="dxa" w:w="80"/>
              <w:right w:type="dxa" w:w="120"/>
            </w:tcMar>
          </w:tcPr>
          <w:p>
            <w:pPr>
              <w:spacing w:after="60" w:before="60"/>
            </w:pPr>
            <w:r>
              <w:rPr>
                <w:b w:val="false"/>
                <w:bCs w:val="false"/>
                <w:sz w:val="20"/>
                <w:szCs w:val="20"/>
              </w:rPr>
              <w:t xml:space="preserve">___________</w:t>
            </w:r>
          </w:p>
        </w:tc>
      </w:tr>
    </w:tbl>
    <w:p>
      <w:pPr>
        <w:spacing w:after="160" w:before="0"/>
      </w:pPr>
      <w:r>
        <w:t xml:space="preserve"/>
      </w:r>
    </w:p>
    <w:p>
      <w:pPr>
        <w:pBdr>
          <w:bottom w:val="single" w:color="CCCCCC" w:sz="6" w:space="1"/>
        </w:pBdr>
        <w:spacing w:after="200" w:before="200"/>
      </w:pPr>
      <w:r>
        <w:t xml:space="preserve"/>
      </w:r>
    </w:p>
    <w:p>
      <w:pPr>
        <w:pStyle w:val="Heading2"/>
        <w:keepNext/>
        <w:spacing w:after="180" w:before="360"/>
      </w:pPr>
      <w:r>
        <w:t xml:space="preserve">Attachment A — Rate Sheet</w:t>
      </w:r>
    </w:p>
    <w:p>
      <w:pPr>
        <w:spacing w:after="180"/>
        <w:jc w:val="both"/>
      </w:pPr>
      <w:r>
        <w:t xml:space="preserve">To the Services Agreement dated ___________.</w:t>
      </w:r>
    </w:p>
    <w:tbl>
      <w:tblPr>
        <w:tblW w:type="pct" w:w="100%"/>
        <w:tblBorders>
          <w:top w:val="single" w:color="CCCCCC" w:sz="4"/>
          <w:left w:val="single" w:color="CCCCCC" w:sz="4"/>
          <w:bottom w:val="single" w:color="CCCCCC" w:sz="4"/>
          <w:right w:val="single" w:color="CCCCCC" w:sz="4"/>
          <w:insideH w:val="single" w:color="CCCCCC" w:sz="2"/>
          <w:insideV w:val="single" w:color="CCCCCC" w:sz="2"/>
        </w:tblBorders>
      </w:tblPr>
      <w:tblGrid>
        <w:gridCol w:w="100"/>
        <w:gridCol w:w="100"/>
      </w:tblGrid>
      <w:tr>
        <w:trPr>
          <w:tblHeader/>
        </w:trPr>
        <w:tc>
          <w:tcPr>
            <w:tcW w:type="pct" w:w="50%"/>
            <w:shd w:fill="EEE9D4" w:val="clear"/>
            <w:tcMar>
              <w:top w:type="dxa" w:w="80"/>
              <w:left w:type="dxa" w:w="120"/>
              <w:bottom w:type="dxa" w:w="80"/>
              <w:right w:type="dxa" w:w="120"/>
            </w:tcMar>
          </w:tcPr>
          <w:p>
            <w:pPr>
              <w:spacing w:after="60" w:before="60"/>
            </w:pPr>
            <w:r>
              <w:rPr>
                <w:b/>
                <w:bCs/>
                <w:sz w:val="20"/>
                <w:szCs w:val="20"/>
              </w:rPr>
              <w:t xml:space="preserve">Role</w:t>
            </w:r>
          </w:p>
        </w:tc>
        <w:tc>
          <w:tcPr>
            <w:tcW w:type="pct" w:w="50%"/>
            <w:shd w:fill="EEE9D4" w:val="clear"/>
            <w:tcMar>
              <w:top w:type="dxa" w:w="80"/>
              <w:left w:type="dxa" w:w="120"/>
              <w:bottom w:type="dxa" w:w="80"/>
              <w:right w:type="dxa" w:w="120"/>
            </w:tcMar>
          </w:tcPr>
          <w:p>
            <w:pPr>
              <w:spacing w:after="60" w:before="60"/>
            </w:pPr>
            <w:r>
              <w:rPr>
                <w:b/>
                <w:bCs/>
                <w:sz w:val="20"/>
                <w:szCs w:val="20"/>
              </w:rPr>
              <w:t xml:space="preserve">Hourly rate, EUR (€)</w:t>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r>
        <w:tc>
          <w:tcPr>
            <w:tcW w:type="pct" w:w="50%"/>
            <w:tcMar>
              <w:top w:type="dxa" w:w="80"/>
              <w:left w:type="dxa" w:w="120"/>
              <w:bottom w:type="dxa" w:w="80"/>
              <w:right w:type="dxa" w:w="120"/>
            </w:tcMar>
          </w:tcPr>
          <w:p>
            <w:pPr>
              <w:spacing w:after="60" w:before="60"/>
            </w:pPr>
            <w:r>
              <w:rPr>
                <w:b w:val="false"/>
                <w:bCs w:val="false"/>
                <w:sz w:val="20"/>
                <w:szCs w:val="20"/>
              </w:rPr>
              <w:t xml:space="preserve"/>
            </w:r>
          </w:p>
        </w:tc>
        <w:tc>
          <w:tcPr>
            <w:tcW w:type="pct" w:w="50%"/>
            <w:tcMar>
              <w:top w:type="dxa" w:w="80"/>
              <w:left w:type="dxa" w:w="120"/>
              <w:bottom w:type="dxa" w:w="80"/>
              <w:right w:type="dxa" w:w="120"/>
            </w:tcMar>
          </w:tcPr>
          <w:p>
            <w:pPr>
              <w:spacing w:after="60" w:before="60"/>
            </w:pPr>
            <w:r>
              <w:rPr>
                <w:b w:val="false"/>
                <w:bCs w:val="false"/>
                <w:sz w:val="20"/>
                <w:szCs w:val="20"/>
              </w:rPr>
              <w:t xml:space="preserve"/>
            </w:r>
          </w:p>
        </w:tc>
      </w:tr>
    </w:tbl>
    <w:p>
      <w:pPr>
        <w:spacing w:after="160" w:before="0"/>
      </w:pPr>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578"/>
        <w:sz w:val="16"/>
        <w:szCs w:val="16"/>
      </w:rPr>
      <w:t xml:space="preserve">Drafters · </w:t>
    </w:r>
    <w:r>
      <w:rPr>
        <w:color w:val="8A8578"/>
        <w:sz w:val="16"/>
        <w:szCs w:val="16"/>
      </w:rPr>
      <w:fldChar w:fldCharType="begin"/>
      <w:instrText xml:space="preserve">PAGE</w:instrText>
      <w:fldChar w:fldCharType="separate"/>
      <w:fldChar w:fldCharType="end"/>
    </w:r>
    <w:r>
      <w:rPr>
        <w:color w:val="8A8578"/>
        <w:sz w:val="16"/>
        <w:szCs w:val="16"/>
      </w:rPr>
      <w:t xml:space="preserve"> / </w:t>
    </w:r>
    <w:r>
      <w:rPr>
        <w:color w:val="8A857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color w:val="8A8578"/>
        <w:sz w:val="16"/>
        <w:szCs w:val="16"/>
      </w:rPr>
      <w:t xml:space="preserve">Services Agreement — Acme Services GmbH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Georgia" w:cs="Georgia" w:eastAsia="Georgia" w:hAnsi="Georgia"/>
      <w:b/>
      <w:bCs/>
      <w:sz w:val="32"/>
      <w:szCs w:val="32"/>
    </w:rPr>
  </w:style>
  <w:style w:type="paragraph" w:styleId="Heading2">
    <w:name w:val="Heading 2"/>
    <w:basedOn w:val="Normal"/>
    <w:next w:val="Normal"/>
    <w:qFormat/>
    <w:pPr>
      <w:spacing w:after="160" w:before="320"/>
    </w:pPr>
    <w:rPr>
      <w:rFonts w:ascii="Georgia" w:cs="Georgia" w:eastAsia="Georgia" w:hAnsi="Georgia"/>
      <w:b/>
      <w:bCs/>
      <w:sz w:val="26"/>
      <w:szCs w:val="26"/>
    </w:rPr>
  </w:style>
  <w:style w:type="paragraph" w:styleId="Heading3">
    <w:name w:val="Heading 3"/>
    <w:basedOn w:val="Normal"/>
    <w:next w:val="Normal"/>
    <w:qFormat/>
    <w:pPr>
      <w:spacing w:after="120" w:before="240"/>
    </w:pPr>
    <w:rPr>
      <w:rFonts w:ascii="Georgia" w:cs="Georgia" w:eastAsia="Georgia" w:hAnsi="Georgia"/>
      <w:b/>
      <w:bCs/>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 Acme Services GmbH</dc:title>
  <dc:creator>Drafters</dc:creator>
  <dc:description>Exported from Drafters — Services Agreement — Acme Services GmbH</dc:description>
  <cp:lastModifiedBy>Un-named</cp:lastModifiedBy>
  <cp:revision>1</cp:revision>
  <dcterms:created xsi:type="dcterms:W3CDTF">2026-04-13T08:49:30.673Z</dcterms:created>
  <dcterms:modified xsi:type="dcterms:W3CDTF">2026-04-13T08:49:30.673Z</dcterms:modified>
</cp:coreProperties>
</file>

<file path=docProps/custom.xml><?xml version="1.0" encoding="utf-8"?>
<Properties xmlns="http://schemas.openxmlformats.org/officeDocument/2006/custom-properties" xmlns:vt="http://schemas.openxmlformats.org/officeDocument/2006/docPropsVTypes"/>
</file>