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Технічне завдання</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Statement of Work</w:t>
      </w:r>
    </w:p>
    <w:p>
      <w:pPr>
        <w:spacing w:after="180"/>
        <w:jc w:val="both"/>
      </w:pPr>
      <w:r>
        <w:rPr>
          <w:b/>
          <w:bCs/>
        </w:rPr>
        <w:t xml:space="preserve">SoW Number:</w:t>
      </w:r>
      <w:r>
        <w:t xml:space="preserve"> ___________</w:t>
      </w:r>
    </w:p>
    <w:p>
      <w:pPr>
        <w:spacing w:after="180"/>
        <w:jc w:val="both"/>
      </w:pPr>
      <w:r>
        <w:rPr>
          <w:b/>
          <w:bCs/>
        </w:rPr>
        <w:t xml:space="preserve">Effective date:</w:t>
      </w:r>
      <w:r>
        <w:t xml:space="preserve"> ___________</w:t>
      </w:r>
    </w:p>
    <w:p>
      <w:pPr>
        <w:spacing w:after="180"/>
        <w:jc w:val="both"/>
      </w:pPr>
      <w:r>
        <w:rPr>
          <w:b/>
          <w:bCs/>
        </w:rPr>
        <w:t xml:space="preserve">Under:</w:t>
      </w:r>
      <w:r>
        <w:t xml:space="preserve"> Master Services Agreement dated __________</w:t>
      </w:r>
      <w:r>
        <w:rPr>
          <w:i/>
          <w:iCs/>
        </w:rPr>
        <w:t xml:space="preserve"> between **Acme Services GmbH** ("Contractor") and </w:t>
      </w:r>
      <w:r>
        <w:t xml:space="preserve">__________ ("Customer").</w:t>
      </w:r>
    </w:p>
    <w:p>
      <w:pPr>
        <w:spacing w:after="180"/>
        <w:jc w:val="both"/>
      </w:pPr>
      <w:r>
        <w:t xml:space="preserve">This Statement of Work is governed by and subject to the terms of the Master Services Agreement referenced above. In the event of conflict between this SoW and the MSA, the MSA prevails except where this SoW explicitly states otherwise.</w:t>
      </w:r>
    </w:p>
    <w:p>
      <w:pPr>
        <w:pStyle w:val="Heading2"/>
        <w:keepNext/>
        <w:spacing w:after="180" w:before="360"/>
      </w:pPr>
      <w:r>
        <w:t xml:space="preserve">1. Project Overview</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Project name</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r>
        <w:tc>
          <w:tcPr>
            <w:tcW w:type="pct" w:w="50%"/>
            <w:tcMar>
              <w:top w:type="dxa" w:w="80"/>
              <w:left w:type="dxa" w:w="120"/>
              <w:bottom w:type="dxa" w:w="80"/>
              <w:right w:type="dxa" w:w="120"/>
            </w:tcMar>
          </w:tcPr>
          <w:p>
            <w:pPr>
              <w:spacing w:after="60" w:before="60"/>
            </w:pPr>
            <w:r>
              <w:rPr>
                <w:b/>
                <w:bCs/>
                <w:sz w:val="20"/>
                <w:szCs w:val="20"/>
              </w:rPr>
              <w:t xml:space="preserve">Billing model</w:t>
            </w:r>
          </w:p>
        </w:tc>
        <w:tc>
          <w:tcPr>
            <w:tcW w:type="pct" w:w="50%"/>
            <w:tcMar>
              <w:top w:type="dxa" w:w="80"/>
              <w:left w:type="dxa" w:w="120"/>
              <w:bottom w:type="dxa" w:w="80"/>
              <w:right w:type="dxa" w:w="120"/>
            </w:tcMar>
          </w:tcPr>
          <w:p>
            <w:pPr>
              <w:spacing w:after="60" w:before="60"/>
            </w:pPr>
            <w:r>
              <w:rPr>
                <w:b/>
                <w:bCs/>
                <w:sz w:val="20"/>
                <w:szCs w:val="20"/>
              </w:rPr>
              <w:t xml:space="preserve">Fixed price</w:t>
            </w:r>
            <w:r>
              <w:rPr>
                <w:b w:val="false"/>
                <w:bCs w:val="false"/>
                <w:sz w:val="20"/>
                <w:szCs w:val="20"/>
              </w:rPr>
              <w:t xml:space="preserve"> per milestone</w:t>
            </w:r>
          </w:p>
        </w:tc>
      </w:tr>
      <w:tr>
        <w:tc>
          <w:tcPr>
            <w:tcW w:type="pct" w:w="50%"/>
            <w:tcMar>
              <w:top w:type="dxa" w:w="80"/>
              <w:left w:type="dxa" w:w="120"/>
              <w:bottom w:type="dxa" w:w="80"/>
              <w:right w:type="dxa" w:w="120"/>
            </w:tcMar>
          </w:tcPr>
          <w:p>
            <w:pPr>
              <w:spacing w:after="60" w:before="60"/>
            </w:pPr>
            <w:r>
              <w:rPr>
                <w:b/>
                <w:bCs/>
                <w:sz w:val="20"/>
                <w:szCs w:val="20"/>
              </w:rPr>
              <w:t xml:space="preserve">Total project fee</w:t>
            </w:r>
          </w:p>
        </w:tc>
        <w:tc>
          <w:tcPr>
            <w:tcW w:type="pct" w:w="50%"/>
            <w:tcMar>
              <w:top w:type="dxa" w:w="80"/>
              <w:left w:type="dxa" w:w="120"/>
              <w:bottom w:type="dxa" w:w="80"/>
              <w:right w:type="dxa" w:w="120"/>
            </w:tcMar>
          </w:tcPr>
          <w:p>
            <w:pPr>
              <w:spacing w:after="60" w:before="60"/>
            </w:pPr>
            <w:r>
              <w:rPr>
                <w:b/>
                <w:bCs/>
                <w:sz w:val="20"/>
                <w:szCs w:val="20"/>
              </w:rPr>
              <w:t xml:space="preserve">€______</w:t>
            </w:r>
          </w:p>
        </w:tc>
      </w:tr>
      <w:tr>
        <w:tc>
          <w:tcPr>
            <w:tcW w:type="pct" w:w="50%"/>
            <w:tcMar>
              <w:top w:type="dxa" w:w="80"/>
              <w:left w:type="dxa" w:w="120"/>
              <w:bottom w:type="dxa" w:w="80"/>
              <w:right w:type="dxa" w:w="120"/>
            </w:tcMar>
          </w:tcPr>
          <w:p>
            <w:pPr>
              <w:spacing w:after="60" w:before="60"/>
            </w:pPr>
            <w:r>
              <w:rPr>
                <w:b/>
                <w:bCs/>
                <w:sz w:val="20"/>
                <w:szCs w:val="20"/>
              </w:rPr>
              <w:t xml:space="preserve">Project duration</w:t>
            </w:r>
          </w:p>
        </w:tc>
        <w:tc>
          <w:tcPr>
            <w:tcW w:type="pct" w:w="50%"/>
            <w:tcMar>
              <w:top w:type="dxa" w:w="80"/>
              <w:left w:type="dxa" w:w="120"/>
              <w:bottom w:type="dxa" w:w="80"/>
              <w:right w:type="dxa" w:w="120"/>
            </w:tcMar>
          </w:tcPr>
          <w:p>
            <w:pPr>
              <w:spacing w:after="60" w:before="60"/>
            </w:pPr>
            <w:r>
              <w:rPr>
                <w:b w:val="false"/>
                <w:bCs w:val="false"/>
                <w:sz w:val="20"/>
                <w:szCs w:val="20"/>
              </w:rPr>
              <w:t xml:space="preserve">____ weeks</w:t>
            </w:r>
          </w:p>
        </w:tc>
      </w:tr>
      <w:tr>
        <w:tc>
          <w:tcPr>
            <w:tcW w:type="pct" w:w="50%"/>
            <w:tcMar>
              <w:top w:type="dxa" w:w="80"/>
              <w:left w:type="dxa" w:w="120"/>
              <w:bottom w:type="dxa" w:w="80"/>
              <w:right w:type="dxa" w:w="120"/>
            </w:tcMar>
          </w:tcPr>
          <w:p>
            <w:pPr>
              <w:spacing w:after="60" w:before="60"/>
            </w:pPr>
            <w:r>
              <w:rPr>
                <w:b/>
                <w:bCs/>
                <w:sz w:val="20"/>
                <w:szCs w:val="20"/>
              </w:rPr>
              <w:t xml:space="preserve">Contractor project lead</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r>
        <w:tc>
          <w:tcPr>
            <w:tcW w:type="pct" w:w="50%"/>
            <w:tcMar>
              <w:top w:type="dxa" w:w="80"/>
              <w:left w:type="dxa" w:w="120"/>
              <w:bottom w:type="dxa" w:w="80"/>
              <w:right w:type="dxa" w:w="120"/>
            </w:tcMar>
          </w:tcPr>
          <w:p>
            <w:pPr>
              <w:spacing w:after="60" w:before="60"/>
            </w:pPr>
            <w:r>
              <w:rPr>
                <w:b/>
                <w:bCs/>
                <w:sz w:val="20"/>
                <w:szCs w:val="20"/>
              </w:rPr>
              <w:t xml:space="preserve">Customer project lead</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Style w:val="Heading2"/>
        <w:keepNext/>
        <w:spacing w:after="180" w:before="360"/>
      </w:pPr>
      <w:r>
        <w:t xml:space="preserve">2. Scope of Work</w:t>
      </w:r>
    </w:p>
    <w:p>
      <w:pPr>
        <w:spacing w:after="180"/>
        <w:jc w:val="both"/>
      </w:pPr>
      <w:r>
        <w:rPr>
          <w:i/>
          <w:iCs/>
        </w:rPr>
        <w:t xml:space="preserve">[Describe the work to be performed. Be as specific as possible. Reference technical specifications, wireframes, or requirement documents as annexes where appropriate.]</w:t>
      </w:r>
    </w:p>
    <w:p>
      <w:pPr>
        <w:pStyle w:val="Heading3"/>
        <w:keepNext/>
        <w:spacing w:after="120" w:before="240"/>
      </w:pPr>
      <w:r>
        <w:t xml:space="preserve">2.1 In Scope</w:t>
      </w:r>
    </w:p>
    <w:p>
      <w:pPr>
        <w:spacing w:after="180"/>
        <w:jc w:val="both"/>
      </w:pPr>
      <w:r>
        <w:rPr>
          <w:i/>
          <w:iCs/>
        </w:rPr>
        <w:t xml:space="preserve">[Bullet list of what is included]</w:t>
      </w:r>
    </w:p>
    <w:p>
      <w:pPr>
        <w:pStyle w:val="Heading3"/>
        <w:keepNext/>
        <w:spacing w:after="120" w:before="240"/>
      </w:pPr>
      <w:r>
        <w:t xml:space="preserve">2.2 Out of Scope</w:t>
      </w:r>
    </w:p>
    <w:p>
      <w:pPr>
        <w:spacing w:after="180"/>
        <w:jc w:val="both"/>
      </w:pPr>
      <w:r>
        <w:rPr>
          <w:i/>
          <w:iCs/>
        </w:rPr>
        <w:t xml:space="preserve">[Explicitly list what is not included to prevent scope creep]</w:t>
      </w:r>
    </w:p>
    <w:p>
      <w:pPr>
        <w:pStyle w:val="Heading3"/>
        <w:keepNext/>
        <w:spacing w:after="120" w:before="240"/>
      </w:pPr>
      <w:r>
        <w:t xml:space="preserve">2.3 Assumptions</w:t>
      </w:r>
    </w:p>
    <w:p>
      <w:pPr>
        <w:spacing w:after="180"/>
        <w:jc w:val="both"/>
      </w:pPr>
      <w:r>
        <w:rPr>
          <w:i/>
          <w:iCs/>
        </w:rPr>
        <w:t xml:space="preserve">[Technical and business assumptions the estimate is based on. If an assumption proves wrong, a Change Order may be needed.]</w:t>
      </w:r>
    </w:p>
    <w:p>
      <w:pPr>
        <w:pStyle w:val="Heading2"/>
        <w:keepNext/>
        <w:spacing w:after="180" w:before="360"/>
      </w:pPr>
      <w:r>
        <w:t xml:space="preserve">3. Deliverables and Milestones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gridCol w:w="100"/>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w:t>
            </w:r>
          </w:p>
        </w:tc>
        <w:tc>
          <w:tcPr>
            <w:tcW w:type="pct" w:w="50%"/>
            <w:shd w:fill="EEE9D4" w:val="clear"/>
            <w:tcMar>
              <w:top w:type="dxa" w:w="80"/>
              <w:left w:type="dxa" w:w="120"/>
              <w:bottom w:type="dxa" w:w="80"/>
              <w:right w:type="dxa" w:w="120"/>
            </w:tcMar>
          </w:tcPr>
          <w:p>
            <w:pPr>
              <w:spacing w:after="60" w:before="60"/>
            </w:pPr>
            <w:r>
              <w:rPr>
                <w:b/>
                <w:bCs/>
                <w:sz w:val="20"/>
                <w:szCs w:val="20"/>
              </w:rPr>
              <w:t xml:space="preserve">Milestone</w:t>
            </w:r>
          </w:p>
        </w:tc>
        <w:tc>
          <w:tcPr>
            <w:tcW w:type="pct" w:w="50%"/>
            <w:shd w:fill="EEE9D4" w:val="clear"/>
            <w:tcMar>
              <w:top w:type="dxa" w:w="80"/>
              <w:left w:type="dxa" w:w="120"/>
              <w:bottom w:type="dxa" w:w="80"/>
              <w:right w:type="dxa" w:w="120"/>
            </w:tcMar>
          </w:tcPr>
          <w:p>
            <w:pPr>
              <w:spacing w:after="60" w:before="60"/>
            </w:pPr>
            <w:r>
              <w:rPr>
                <w:b/>
                <w:bCs/>
                <w:sz w:val="20"/>
                <w:szCs w:val="20"/>
              </w:rPr>
              <w:t xml:space="preserve">Deliverables</w:t>
            </w:r>
          </w:p>
        </w:tc>
        <w:tc>
          <w:tcPr>
            <w:tcW w:type="pct" w:w="50%"/>
            <w:shd w:fill="EEE9D4" w:val="clear"/>
            <w:tcMar>
              <w:top w:type="dxa" w:w="80"/>
              <w:left w:type="dxa" w:w="120"/>
              <w:bottom w:type="dxa" w:w="80"/>
              <w:right w:type="dxa" w:w="120"/>
            </w:tcMar>
          </w:tcPr>
          <w:p>
            <w:pPr>
              <w:spacing w:after="60" w:before="60"/>
            </w:pPr>
            <w:r>
              <w:rPr>
                <w:b/>
                <w:bCs/>
                <w:sz w:val="20"/>
                <w:szCs w:val="20"/>
              </w:rPr>
              <w:t xml:space="preserve">Due date</w:t>
            </w:r>
          </w:p>
        </w:tc>
        <w:tc>
          <w:tcPr>
            <w:tcW w:type="pct" w:w="50%"/>
            <w:shd w:fill="EEE9D4" w:val="clear"/>
            <w:tcMar>
              <w:top w:type="dxa" w:w="80"/>
              <w:left w:type="dxa" w:w="120"/>
              <w:bottom w:type="dxa" w:w="80"/>
              <w:right w:type="dxa" w:w="120"/>
            </w:tcMar>
          </w:tcPr>
          <w:p>
            <w:pPr>
              <w:spacing w:after="60" w:before="60"/>
            </w:pPr>
            <w:r>
              <w:rPr>
                <w:b/>
                <w:bCs/>
                <w:sz w:val="20"/>
                <w:szCs w:val="20"/>
              </w:rPr>
              <w:t xml:space="preserve">Fee, EUR (€)</w:t>
            </w:r>
          </w:p>
        </w:tc>
      </w:tr>
      <w:tr>
        <w:tc>
          <w:tcPr>
            <w:tcW w:type="pct" w:w="50%"/>
            <w:tcMar>
              <w:top w:type="dxa" w:w="80"/>
              <w:left w:type="dxa" w:w="120"/>
              <w:bottom w:type="dxa" w:w="80"/>
              <w:right w:type="dxa" w:w="120"/>
            </w:tcMar>
          </w:tcPr>
          <w:p>
            <w:pPr>
              <w:spacing w:after="60" w:before="60"/>
            </w:pPr>
            <w:r>
              <w:rPr>
                <w:b w:val="false"/>
                <w:bCs w:val="false"/>
                <w:sz w:val="20"/>
                <w:szCs w:val="20"/>
              </w:rPr>
              <w:t xml:space="preserve">1</w:t>
            </w:r>
          </w:p>
        </w:tc>
        <w:tc>
          <w:tcPr>
            <w:tcW w:type="pct" w:w="50%"/>
            <w:tcMar>
              <w:top w:type="dxa" w:w="80"/>
              <w:left w:type="dxa" w:w="120"/>
              <w:bottom w:type="dxa" w:w="80"/>
              <w:right w:type="dxa" w:w="120"/>
            </w:tcMar>
          </w:tcPr>
          <w:p>
            <w:pPr>
              <w:spacing w:after="60" w:before="60"/>
            </w:pPr>
            <w:r>
              <w:rPr>
                <w:b w:val="false"/>
                <w:bCs w:val="false"/>
                <w:sz w:val="20"/>
                <w:szCs w:val="20"/>
              </w:rPr>
              <w:t xml:space="preserve">_______</w:t>
            </w:r>
          </w:p>
        </w:tc>
        <w:tc>
          <w:tcPr>
            <w:tcW w:type="pct" w:w="50%"/>
            <w:tcMar>
              <w:top w:type="dxa" w:w="80"/>
              <w:left w:type="dxa" w:w="120"/>
              <w:bottom w:type="dxa" w:w="80"/>
              <w:right w:type="dxa" w:w="120"/>
            </w:tcMar>
          </w:tcPr>
          <w:p>
            <w:pPr>
              <w:spacing w:after="60" w:before="60"/>
            </w:pPr>
            <w:r>
              <w:rPr>
                <w:b w:val="false"/>
                <w:bCs w:val="false"/>
                <w:sz w:val="20"/>
                <w:szCs w:val="20"/>
              </w:rPr>
              <w:t xml:space="preserve">_______</w:t>
            </w:r>
          </w:p>
        </w:tc>
        <w:tc>
          <w:tcPr>
            <w:tcW w:type="pct" w:w="50%"/>
            <w:tcMar>
              <w:top w:type="dxa" w:w="80"/>
              <w:left w:type="dxa" w:w="120"/>
              <w:bottom w:type="dxa" w:w="80"/>
              <w:right w:type="dxa" w:w="120"/>
            </w:tcMar>
          </w:tcPr>
          <w:p>
            <w:pPr>
              <w:spacing w:after="60" w:before="60"/>
            </w:pPr>
            <w:r>
              <w:rPr>
                <w:b w:val="false"/>
                <w:bCs w:val="false"/>
                <w:sz w:val="20"/>
                <w:szCs w:val="20"/>
              </w:rPr>
              <w:t xml:space="preserve">_____</w:t>
            </w:r>
          </w:p>
        </w:tc>
        <w:tc>
          <w:tcPr>
            <w:tcW w:type="pct" w:w="50%"/>
            <w:tcMar>
              <w:top w:type="dxa" w:w="80"/>
              <w:left w:type="dxa" w:w="120"/>
              <w:bottom w:type="dxa" w:w="80"/>
              <w:right w:type="dxa" w:w="120"/>
            </w:tcMar>
          </w:tcPr>
          <w:p>
            <w:pPr>
              <w:spacing w:after="60" w:before="60"/>
            </w:pPr>
            <w:r>
              <w:rPr>
                <w:b w:val="false"/>
                <w:bCs w:val="false"/>
                <w:sz w:val="20"/>
                <w:szCs w:val="20"/>
              </w:rPr>
              <w:t xml:space="preserve">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2</w:t>
            </w:r>
          </w:p>
        </w:tc>
        <w:tc>
          <w:tcPr>
            <w:tcW w:type="pct" w:w="50%"/>
            <w:tcMar>
              <w:top w:type="dxa" w:w="80"/>
              <w:left w:type="dxa" w:w="120"/>
              <w:bottom w:type="dxa" w:w="80"/>
              <w:right w:type="dxa" w:w="120"/>
            </w:tcMar>
          </w:tcPr>
          <w:p>
            <w:pPr>
              <w:spacing w:after="60" w:before="60"/>
            </w:pPr>
            <w:r>
              <w:rPr>
                <w:b w:val="false"/>
                <w:bCs w:val="false"/>
                <w:sz w:val="20"/>
                <w:szCs w:val="20"/>
              </w:rPr>
              <w:t xml:space="preserve">_______</w:t>
            </w:r>
          </w:p>
        </w:tc>
        <w:tc>
          <w:tcPr>
            <w:tcW w:type="pct" w:w="50%"/>
            <w:tcMar>
              <w:top w:type="dxa" w:w="80"/>
              <w:left w:type="dxa" w:w="120"/>
              <w:bottom w:type="dxa" w:w="80"/>
              <w:right w:type="dxa" w:w="120"/>
            </w:tcMar>
          </w:tcPr>
          <w:p>
            <w:pPr>
              <w:spacing w:after="60" w:before="60"/>
            </w:pPr>
            <w:r>
              <w:rPr>
                <w:b w:val="false"/>
                <w:bCs w:val="false"/>
                <w:sz w:val="20"/>
                <w:szCs w:val="20"/>
              </w:rPr>
              <w:t xml:space="preserve">_______</w:t>
            </w:r>
          </w:p>
        </w:tc>
        <w:tc>
          <w:tcPr>
            <w:tcW w:type="pct" w:w="50%"/>
            <w:tcMar>
              <w:top w:type="dxa" w:w="80"/>
              <w:left w:type="dxa" w:w="120"/>
              <w:bottom w:type="dxa" w:w="80"/>
              <w:right w:type="dxa" w:w="120"/>
            </w:tcMar>
          </w:tcPr>
          <w:p>
            <w:pPr>
              <w:spacing w:after="60" w:before="60"/>
            </w:pPr>
            <w:r>
              <w:rPr>
                <w:b w:val="false"/>
                <w:bCs w:val="false"/>
                <w:sz w:val="20"/>
                <w:szCs w:val="20"/>
              </w:rPr>
              <w:t xml:space="preserve">_____</w:t>
            </w:r>
          </w:p>
        </w:tc>
        <w:tc>
          <w:tcPr>
            <w:tcW w:type="pct" w:w="50%"/>
            <w:tcMar>
              <w:top w:type="dxa" w:w="80"/>
              <w:left w:type="dxa" w:w="120"/>
              <w:bottom w:type="dxa" w:w="80"/>
              <w:right w:type="dxa" w:w="120"/>
            </w:tcMar>
          </w:tcPr>
          <w:p>
            <w:pPr>
              <w:spacing w:after="60" w:before="60"/>
            </w:pPr>
            <w:r>
              <w:rPr>
                <w:b w:val="false"/>
                <w:bCs w:val="false"/>
                <w:sz w:val="20"/>
                <w:szCs w:val="20"/>
              </w:rPr>
              <w:t xml:space="preserve">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3</w:t>
            </w:r>
          </w:p>
        </w:tc>
        <w:tc>
          <w:tcPr>
            <w:tcW w:type="pct" w:w="50%"/>
            <w:tcMar>
              <w:top w:type="dxa" w:w="80"/>
              <w:left w:type="dxa" w:w="120"/>
              <w:bottom w:type="dxa" w:w="80"/>
              <w:right w:type="dxa" w:w="120"/>
            </w:tcMar>
          </w:tcPr>
          <w:p>
            <w:pPr>
              <w:spacing w:after="60" w:before="60"/>
            </w:pPr>
            <w:r>
              <w:rPr>
                <w:b w:val="false"/>
                <w:bCs w:val="false"/>
                <w:sz w:val="20"/>
                <w:szCs w:val="20"/>
              </w:rPr>
              <w:t xml:space="preserve">_______</w:t>
            </w:r>
          </w:p>
        </w:tc>
        <w:tc>
          <w:tcPr>
            <w:tcW w:type="pct" w:w="50%"/>
            <w:tcMar>
              <w:top w:type="dxa" w:w="80"/>
              <w:left w:type="dxa" w:w="120"/>
              <w:bottom w:type="dxa" w:w="80"/>
              <w:right w:type="dxa" w:w="120"/>
            </w:tcMar>
          </w:tcPr>
          <w:p>
            <w:pPr>
              <w:spacing w:after="60" w:before="60"/>
            </w:pPr>
            <w:r>
              <w:rPr>
                <w:b w:val="false"/>
                <w:bCs w:val="false"/>
                <w:sz w:val="20"/>
                <w:szCs w:val="20"/>
              </w:rPr>
              <w:t xml:space="preserve">_______</w:t>
            </w:r>
          </w:p>
        </w:tc>
        <w:tc>
          <w:tcPr>
            <w:tcW w:type="pct" w:w="50%"/>
            <w:tcMar>
              <w:top w:type="dxa" w:w="80"/>
              <w:left w:type="dxa" w:w="120"/>
              <w:bottom w:type="dxa" w:w="80"/>
              <w:right w:type="dxa" w:w="120"/>
            </w:tcMar>
          </w:tcPr>
          <w:p>
            <w:pPr>
              <w:spacing w:after="60" w:before="60"/>
            </w:pPr>
            <w:r>
              <w:rPr>
                <w:b w:val="false"/>
                <w:bCs w:val="false"/>
                <w:sz w:val="20"/>
                <w:szCs w:val="20"/>
              </w:rPr>
              <w:t xml:space="preserve">_____</w:t>
            </w:r>
          </w:p>
        </w:tc>
        <w:tc>
          <w:tcPr>
            <w:tcW w:type="pct" w:w="50%"/>
            <w:tcMar>
              <w:top w:type="dxa" w:w="80"/>
              <w:left w:type="dxa" w:w="120"/>
              <w:bottom w:type="dxa" w:w="80"/>
              <w:right w:type="dxa" w:w="120"/>
            </w:tcMar>
          </w:tcPr>
          <w:p>
            <w:pPr>
              <w:spacing w:after="60" w:before="60"/>
            </w:pPr>
            <w:r>
              <w:rPr>
                <w:b w:val="false"/>
                <w:bCs w:val="false"/>
                <w:sz w:val="20"/>
                <w:szCs w:val="20"/>
              </w:rPr>
              <w:t xml:space="preserve">_____</w:t>
            </w:r>
          </w:p>
        </w:tc>
      </w:tr>
      <w:tr>
        <w:tc>
          <w:tcPr>
            <w:tcW w:type="pct" w:w="50%"/>
            <w:tcMar>
              <w:top w:type="dxa" w:w="80"/>
              <w:left w:type="dxa" w:w="120"/>
              <w:bottom w:type="dxa" w:w="80"/>
              <w:right w:type="dxa" w:w="120"/>
            </w:tcMar>
          </w:tcPr>
          <w:p>
            <w:pPr>
              <w:spacing w:after="60" w:before="60"/>
            </w:pPr>
            <w:r>
              <w:rPr>
                <w:b/>
                <w:bCs/>
                <w:sz w:val="20"/>
                <w:szCs w:val="20"/>
              </w:rPr>
              <w:t xml:space="preserve">Total</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bCs/>
                <w:sz w:val="20"/>
                <w:szCs w:val="20"/>
              </w:rPr>
              <w:t xml:space="preserve">€______</w:t>
            </w:r>
          </w:p>
        </w:tc>
      </w:tr>
    </w:tbl>
    <w:p>
      <w:pPr>
        <w:spacing w:after="160" w:before="0"/>
      </w:pPr>
      <w:r>
        <w:t xml:space="preserve"/>
      </w:r>
    </w:p>
    <w:p>
      <w:pPr>
        <w:pStyle w:val="Heading2"/>
        <w:keepNext/>
        <w:spacing w:after="180" w:before="360"/>
      </w:pPr>
      <w:r>
        <w:t xml:space="preserve">4. Payment Terms</w:t>
      </w:r>
    </w:p>
    <w:p>
      <w:pPr>
        <w:spacing w:after="180"/>
        <w:jc w:val="both"/>
      </w:pPr>
      <w:r>
        <w:rPr>
          <w:b/>
          <w:bCs/>
        </w:rPr>
        <w:t xml:space="preserve">Payment Schedule.</w:t>
      </w:r>
      <w:r>
        <w:t xml:space="preserve"> The Contractor shall invoice the Customer upon completion and acceptance of each Milestone as defined in the applicable Statement of Work. Each invoice is due within </w:t>
      </w:r>
      <w:r>
        <w:rPr>
          <w:b/>
          <w:bCs/>
        </w:rPr>
        <w:t xml:space="preserve">fifteen (15) calendar days</w:t>
      </w:r>
      <w:r>
        <w:t xml:space="preserve"> of the Customer's written acceptance of the corresponding Deliverable.</w:t>
      </w:r>
    </w:p>
    <w:p>
      <w:pPr>
        <w:spacing w:after="180"/>
        <w:jc w:val="both"/>
      </w:pPr>
      <w:r>
        <w:rPr>
          <w:b/>
          <w:bCs/>
        </w:rPr>
        <w:t xml:space="preserve">Holdback.</w:t>
      </w:r>
      <w:r>
        <w:t xml:space="preserve"> The Customer may withhold up to </w:t>
      </w:r>
      <w:r>
        <w:rPr>
          <w:b/>
          <w:bCs/>
        </w:rPr>
        <w:t xml:space="preserve">10%</w:t>
      </w:r>
      <w:r>
        <w:t xml:space="preserve"> of each Milestone payment as a quality holdback. All holdback amounts become due upon final acceptance of the last Milestone in the Statement of Work, or </w:t>
      </w:r>
      <w:r>
        <w:rPr>
          <w:b/>
          <w:bCs/>
        </w:rPr>
        <w:t xml:space="preserve">thirty (30) calendar days</w:t>
      </w:r>
      <w:r>
        <w:t xml:space="preserve"> after delivery of the last Milestone, whichever occurs first.</w:t>
      </w:r>
    </w:p>
    <w:p>
      <w:pPr>
        <w:spacing w:after="180"/>
        <w:jc w:val="both"/>
      </w:pPr>
      <w:r>
        <w:rPr>
          <w:b/>
          <w:bCs/>
        </w:rPr>
        <w:t xml:space="preserve">Partial Delivery.</w:t>
      </w:r>
      <w:r>
        <w:t xml:space="preserve"> If a Milestone is partially completed to the Customer's reasonable satisfaction, the parties may agree in writing to a proportional payment for the completed portion, with the remainder due upon full completion.</w:t>
      </w:r>
    </w:p>
    <w:p>
      <w:pPr>
        <w:pStyle w:val="Heading2"/>
        <w:keepNext/>
        <w:spacing w:after="180" w:before="360"/>
      </w:pPr>
      <w:r>
        <w:t xml:space="preserve">How this clause works in practice</w:t>
      </w:r>
    </w:p>
    <w:p>
      <w:pPr>
        <w:spacing w:after="180"/>
        <w:jc w:val="both"/>
      </w:pPr>
      <w:r>
        <w:t xml:space="preserve">Milestone payments shift cash-flow risk from the contractor to the client — we don't invoice until we deliver. The 10% holdback gives the client insurance that we'll finish the last mile, but it's capped to prevent the holdback from becoming a de facto discount.</w:t>
      </w:r>
    </w:p>
    <w:p>
      <w:pPr>
        <w:spacing w:after="180"/>
        <w:jc w:val="both"/>
      </w:pPr>
      <w:r>
        <w:t xml:space="preserve">The 30-day auto-release on the final holdback prevents the "infinite acceptance delay" scenario where a client never formally signs off and the holdback sits in limbo indefinitely.</w:t>
      </w:r>
    </w:p>
    <w:p>
      <w:pPr>
        <w:pStyle w:val="Heading2"/>
        <w:keepNext/>
        <w:spacing w:after="180" w:before="360"/>
      </w:pPr>
      <w:r>
        <w:t xml:space="preserve">5. Acceptance</w:t>
      </w:r>
    </w:p>
    <w:p>
      <w:pPr>
        <w:spacing w:after="180"/>
        <w:jc w:val="both"/>
      </w:pPr>
      <w:r>
        <w:rPr>
          <w:b/>
          <w:bCs/>
        </w:rPr>
        <w:t xml:space="preserve">Acceptance Process.</w:t>
      </w:r>
      <w:r>
        <w:t xml:space="preserve"> Upon delivery of each Deliverable, the Customer shall have </w:t>
      </w:r>
      <w:r>
        <w:rPr>
          <w:b/>
          <w:bCs/>
        </w:rPr>
        <w:t xml:space="preserve">five (5) business days</w:t>
      </w:r>
      <w:r>
        <w:t xml:space="preserve"> to review and either:</w:t>
      </w:r>
    </w:p>
    <w:p>
      <w:pPr>
        <w:pStyle w:val="ListParagraph"/>
        <w:numPr>
          <w:ilvl w:val="0"/>
          <w:numId w:val="2"/>
        </w:numPr>
        <w:spacing w:after="60"/>
      </w:pPr>
      <w:r>
        <w:rPr>
          <w:b/>
          <w:bCs/>
        </w:rPr>
        <w:t xml:space="preserve">Accept</w:t>
      </w:r>
      <w:r>
        <w:t xml:space="preserve"> the Deliverable in writing, or</w:t>
      </w:r>
    </w:p>
    <w:p>
      <w:pPr>
        <w:pStyle w:val="ListParagraph"/>
        <w:numPr>
          <w:ilvl w:val="0"/>
          <w:numId w:val="2"/>
        </w:numPr>
        <w:spacing w:after="60"/>
      </w:pPr>
      <w:r>
        <w:rPr>
          <w:b/>
          <w:bCs/>
        </w:rPr>
        <w:t xml:space="preserve">Reject</w:t>
      </w:r>
      <w:r>
        <w:t xml:space="preserve"> the Deliverable with a written description of material</w:t>
      </w:r>
    </w:p>
    <w:p>
      <w:pPr>
        <w:spacing w:after="180"/>
        <w:jc w:val="both"/>
      </w:pPr>
      <w:r>
        <w:t xml:space="preserve">deficiencies referencing the acceptance criteria defined in the applicable Statement of Work.</w:t>
      </w:r>
    </w:p>
    <w:p>
      <w:pPr>
        <w:spacing w:after="180"/>
        <w:jc w:val="both"/>
      </w:pPr>
      <w:r>
        <w:rPr>
          <w:b/>
          <w:bCs/>
        </w:rPr>
        <w:t xml:space="preserve">Deemed Acceptance.</w:t>
      </w:r>
      <w:r>
        <w:t xml:space="preserve"> If the Customer does not respond within the review period, the Deliverable shall be deemed accepted.</w:t>
      </w:r>
    </w:p>
    <w:p>
      <w:pPr>
        <w:spacing w:after="180"/>
        <w:jc w:val="both"/>
      </w:pPr>
      <w:r>
        <w:rPr>
          <w:b/>
          <w:bCs/>
        </w:rPr>
        <w:t xml:space="preserve">Cure Period.</w:t>
      </w:r>
      <w:r>
        <w:t xml:space="preserve"> If the Customer rejects a Deliverable, the Contractor shall have </w:t>
      </w:r>
      <w:r>
        <w:rPr>
          <w:b/>
          <w:bCs/>
        </w:rPr>
        <w:t xml:space="preserve">ten (10) business days</w:t>
      </w:r>
      <w:r>
        <w:t xml:space="preserve"> to cure the identified deficiencies and resubmit. The Customer then has an additional </w:t>
      </w:r>
      <w:r>
        <w:rPr>
          <w:b/>
          <w:bCs/>
        </w:rPr>
        <w:t xml:space="preserve">three (3) business days</w:t>
      </w:r>
      <w:r>
        <w:t xml:space="preserve"> to re-review.</w:t>
      </w:r>
    </w:p>
    <w:p>
      <w:pPr>
        <w:spacing w:after="180"/>
        <w:jc w:val="both"/>
      </w:pPr>
      <w:r>
        <w:rPr>
          <w:b/>
          <w:bCs/>
        </w:rPr>
        <w:t xml:space="preserve">Scope of Rejection.</w:t>
      </w:r>
      <w:r>
        <w:t xml:space="preserve"> The Customer may only reject a Deliverable based on material non-conformance with the acceptance criteria specified in the Statement of Work. Cosmetic preferences, scope additions, or requirements not documented in the SoW do not constitute valid grounds for rejection.</w:t>
      </w:r>
    </w:p>
    <w:p>
      <w:pPr>
        <w:pStyle w:val="Heading2"/>
        <w:keepNext/>
        <w:spacing w:after="180" w:before="360"/>
      </w:pPr>
      <w:r>
        <w:t xml:space="preserve">How this clause works in practice</w:t>
      </w:r>
    </w:p>
    <w:p>
      <w:pPr>
        <w:spacing w:after="180"/>
        <w:jc w:val="both"/>
      </w:pPr>
      <w:r>
        <w:t xml:space="preserve">The 5-day review window prevents indefinite "we haven't looked at it yet" delays. Deemed acceptance after 5 days is the contractor's main protection — without it, a busy client team can block payment indefinitely by simply not reviewing.</w:t>
      </w:r>
    </w:p>
    <w:p>
      <w:pPr>
        <w:spacing w:after="180"/>
        <w:jc w:val="both"/>
      </w:pPr>
      <w:r>
        <w:t xml:space="preserve">The "scope of rejection" paragraph is critical: it limits rejection to documented criteria, not subjective preferences. Without this, acceptance becomes a moving target.</w:t>
      </w:r>
    </w:p>
    <w:p>
      <w:pPr>
        <w:pStyle w:val="Heading2"/>
        <w:keepNext/>
        <w:spacing w:after="180" w:before="360"/>
      </w:pPr>
      <w:r>
        <w:t xml:space="preserve">Interaction with other clauses</w:t>
      </w:r>
    </w:p>
    <w:p>
      <w:pPr>
        <w:pStyle w:val="ListParagraph"/>
        <w:numPr>
          <w:ilvl w:val="0"/>
          <w:numId w:val="1"/>
        </w:numPr>
        <w:spacing w:after="60"/>
      </w:pPr>
      <w:r>
        <w:t xml:space="preserve">Triggers payment via Milestone-Based Payment</w:t>
      </w:r>
    </w:p>
    <w:p>
      <w:pPr>
        <w:pStyle w:val="ListParagraph"/>
        <w:numPr>
          <w:ilvl w:val="0"/>
          <w:numId w:val="1"/>
        </w:numPr>
        <w:spacing w:after="60"/>
      </w:pPr>
      <w:r>
        <w:t xml:space="preserve">Governed by the scope defined in Statement of Work</w:t>
      </w:r>
    </w:p>
    <w:p>
      <w:pPr>
        <w:pStyle w:val="ListParagraph"/>
        <w:numPr>
          <w:ilvl w:val="0"/>
          <w:numId w:val="1"/>
        </w:numPr>
        <w:spacing w:after="60"/>
      </w:pPr>
      <w:r>
        <w:t xml:space="preserve">Disputes escalate through Payment Dispute (client-facing)</w:t>
      </w:r>
    </w:p>
    <w:p>
      <w:pPr>
        <w:pStyle w:val="Heading2"/>
        <w:keepNext/>
        <w:spacing w:after="180" w:before="360"/>
      </w:pPr>
      <w:r>
        <w:t xml:space="preserve">6. Change Orders</w:t>
      </w:r>
    </w:p>
    <w:p>
      <w:pPr>
        <w:spacing w:after="180"/>
        <w:jc w:val="both"/>
      </w:pPr>
      <w:r>
        <w:rPr>
          <w:b/>
          <w:bCs/>
        </w:rPr>
        <w:t xml:space="preserve">Scope Freeze.</w:t>
      </w:r>
      <w:r>
        <w:t xml:space="preserve"> The scope of work is defined exclusively by the applicable Statement of Work. Any modification, addition, or removal of Deliverables, Milestones, or acceptance criteria requires a written </w:t>
      </w:r>
      <w:r>
        <w:rPr>
          <w:b/>
          <w:bCs/>
        </w:rPr>
        <w:t xml:space="preserve">Change Order</w:t>
      </w:r>
      <w:r>
        <w:t xml:space="preserve"> signed by both parties before work begins.</w:t>
      </w:r>
    </w:p>
    <w:p>
      <w:pPr>
        <w:spacing w:after="180"/>
        <w:jc w:val="both"/>
      </w:pPr>
      <w:r>
        <w:rPr>
          <w:b/>
          <w:bCs/>
        </w:rPr>
        <w:t xml:space="preserve">Change Order Process.</w:t>
      </w:r>
    </w:p>
    <w:p>
      <w:pPr>
        <w:pStyle w:val="ListParagraph"/>
        <w:numPr>
          <w:ilvl w:val="0"/>
          <w:numId w:val="2"/>
        </w:numPr>
        <w:spacing w:after="60"/>
      </w:pPr>
      <w:r>
        <w:t xml:space="preserve">Either party submits a Change Request describing the proposed</w:t>
      </w:r>
    </w:p>
    <w:p>
      <w:pPr>
        <w:spacing w:after="180"/>
        <w:jc w:val="both"/>
      </w:pPr>
      <w:r>
        <w:t xml:space="preserve">modification, estimated impact on timeline, and estimated additional cost (if any).</w:t>
      </w:r>
    </w:p>
    <w:p>
      <w:pPr>
        <w:pStyle w:val="ListParagraph"/>
        <w:numPr>
          <w:ilvl w:val="0"/>
          <w:numId w:val="2"/>
        </w:numPr>
        <w:spacing w:after="60"/>
      </w:pPr>
      <w:r>
        <w:t xml:space="preserve">The receiving party has </w:t>
      </w:r>
      <w:r>
        <w:rPr>
          <w:b/>
          <w:bCs/>
        </w:rPr>
        <w:t xml:space="preserve">five (5) business days</w:t>
      </w:r>
      <w:r>
        <w:t xml:space="preserve"> to accept,</w:t>
      </w:r>
    </w:p>
    <w:p>
      <w:pPr>
        <w:spacing w:after="180"/>
        <w:jc w:val="both"/>
      </w:pPr>
      <w:r>
        <w:t xml:space="preserve">reject, or propose an alternative.</w:t>
      </w:r>
    </w:p>
    <w:p>
      <w:pPr>
        <w:pStyle w:val="ListParagraph"/>
        <w:numPr>
          <w:ilvl w:val="0"/>
          <w:numId w:val="2"/>
        </w:numPr>
        <w:spacing w:after="60"/>
      </w:pPr>
      <w:r>
        <w:t xml:space="preserve">If accepted, the parties execute a Change Order amending the</w:t>
      </w:r>
    </w:p>
    <w:p>
      <w:pPr>
        <w:spacing w:after="180"/>
        <w:jc w:val="both"/>
      </w:pPr>
      <w:r>
        <w:t xml:space="preserve">Statement of Work. The Change Order specifies revised Milestones, fees, and timeline.</w:t>
      </w:r>
    </w:p>
    <w:p>
      <w:pPr>
        <w:pStyle w:val="ListParagraph"/>
        <w:numPr>
          <w:ilvl w:val="0"/>
          <w:numId w:val="2"/>
        </w:numPr>
        <w:spacing w:after="60"/>
      </w:pPr>
      <w:r>
        <w:t xml:space="preserve">Work on the changed scope begins </w:t>
      </w:r>
      <w:r>
        <w:rPr>
          <w:b/>
          <w:bCs/>
        </w:rPr>
        <w:t xml:space="preserve">only after</w:t>
      </w:r>
      <w:r>
        <w:t xml:space="preserve"> the Change Order</w:t>
      </w:r>
    </w:p>
    <w:p>
      <w:pPr>
        <w:spacing w:after="180"/>
        <w:jc w:val="both"/>
      </w:pPr>
      <w:r>
        <w:t xml:space="preserve">is signed by both parties.</w:t>
      </w:r>
    </w:p>
    <w:p>
      <w:pPr>
        <w:spacing w:after="180"/>
        <w:jc w:val="both"/>
      </w:pPr>
      <w:r>
        <w:rPr>
          <w:b/>
          <w:bCs/>
        </w:rPr>
        <w:t xml:space="preserve">Pricing Impact.</w:t>
      </w:r>
      <w:r>
        <w:t xml:space="preserve"> Additional work described in a Change Order is billed at the rates specified in the Master Services Agreement, or at rates agreed in the Change Order itself if different.</w:t>
      </w:r>
    </w:p>
    <w:p>
      <w:pPr>
        <w:spacing w:after="180"/>
        <w:jc w:val="both"/>
      </w:pPr>
      <w:r>
        <w:rPr>
          <w:b/>
          <w:bCs/>
        </w:rPr>
        <w:t xml:space="preserve">Emergency Changes.</w:t>
      </w:r>
      <w:r>
        <w:t xml:space="preserve"> If the Customer requests changes that are urgently needed to prevent data loss, security breach, or legal non-compliance, the Contractor may begin work before the Change Order is signed, provided the Customer confirms the request in writing (email is sufficient). The Change Order must be formalized within </w:t>
      </w:r>
      <w:r>
        <w:rPr>
          <w:b/>
          <w:bCs/>
        </w:rPr>
        <w:t xml:space="preserve">five (5) business days</w:t>
      </w:r>
      <w:r>
        <w:t xml:space="preserve"> of the emergency request.</w:t>
      </w:r>
    </w:p>
    <w:p>
      <w:pPr>
        <w:pStyle w:val="Heading2"/>
        <w:keepNext/>
        <w:spacing w:after="180" w:before="360"/>
      </w:pPr>
      <w:r>
        <w:t xml:space="preserve">7. Intellectual Property</w:t>
      </w:r>
    </w:p>
    <w:p>
      <w:pPr>
        <w:spacing w:after="180"/>
        <w:jc w:val="both"/>
      </w:pPr>
      <w:r>
        <w:rPr>
          <w:b/>
          <w:bCs/>
        </w:rPr>
        <w:t xml:space="preserve">Final Works.</w:t>
      </w:r>
      <w:r>
        <w:t xml:space="preserve"> The Contractor transfers to the Customer all intellectual property rights (IP rights) in all materials developed for or provided to the Customer by the Contractor through the performance of Services (Deliverables), </w:t>
      </w:r>
      <w:r>
        <w:rPr>
          <w:b/>
          <w:bCs/>
        </w:rPr>
        <w:t xml:space="preserve">as necessary payments are made</w:t>
      </w:r>
      <w:r>
        <w:t xml:space="preserve"> during the agreement. If the agreement is terminated, the Contractor shall transfer all finished and unfinished Deliverables previously paid for.</w:t>
      </w:r>
    </w:p>
    <w:p>
      <w:pPr>
        <w:spacing w:after="180"/>
        <w:jc w:val="both"/>
      </w:pPr>
      <w:r>
        <w:rPr>
          <w:b/>
          <w:bCs/>
        </w:rPr>
        <w:t xml:space="preserve">No copyleft licenses.</w:t>
      </w:r>
      <w:r>
        <w:t xml:space="preserve"> The Contractor warrants that it has not included or used, and will not include or use, any Open-Source Software or any libraries or code licensed under the General Public License, AGPL, or any similar copyleft license in the Software, where such license would require the Customer to license the Software onwards or otherwise make it available to others, without the Customer's prior written consent.</w:t>
      </w:r>
    </w:p>
    <w:p>
      <w:pPr>
        <w:pStyle w:val="Heading2"/>
        <w:keepNext/>
        <w:spacing w:after="180" w:before="360"/>
      </w:pPr>
      <w:r>
        <w:t xml:space="preserve">How this works in practice</w:t>
      </w:r>
    </w:p>
    <w:p>
      <w:pPr>
        <w:spacing w:after="180"/>
        <w:jc w:val="both"/>
      </w:pPr>
      <w:r>
        <w:t xml:space="preserve">Three principled differences from the subcontract version:</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Aspect</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 (Dev)</w:t>
            </w:r>
          </w:p>
        </w:tc>
        <w:tc>
          <w:tcPr>
            <w:tcW w:type="pct" w:w="50%"/>
            <w:shd w:fill="EEE9D4" w:val="clear"/>
            <w:tcMar>
              <w:top w:type="dxa" w:w="80"/>
              <w:left w:type="dxa" w:w="120"/>
              <w:bottom w:type="dxa" w:w="80"/>
              <w:right w:type="dxa" w:w="120"/>
            </w:tcMar>
          </w:tcPr>
          <w:p>
            <w:pPr>
              <w:spacing w:after="60" w:before="60"/>
            </w:pPr>
            <w:r>
              <w:rPr>
                <w:b/>
                <w:bCs/>
                <w:sz w:val="20"/>
                <w:szCs w:val="20"/>
              </w:rPr>
              <w:t xml:space="preserve">Services Agreement</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Direction</w:t>
            </w:r>
          </w:p>
        </w:tc>
        <w:tc>
          <w:tcPr>
            <w:tcW w:type="pct" w:w="50%"/>
            <w:tcMar>
              <w:top w:type="dxa" w:w="80"/>
              <w:left w:type="dxa" w:w="120"/>
              <w:bottom w:type="dxa" w:w="80"/>
              <w:right w:type="dxa" w:w="120"/>
            </w:tcMar>
          </w:tcPr>
          <w:p>
            <w:pPr>
              <w:spacing w:after="60" w:before="60"/>
            </w:pPr>
            <w:r>
              <w:rPr>
                <w:b w:val="false"/>
                <w:bCs w:val="false"/>
                <w:sz w:val="20"/>
                <w:szCs w:val="20"/>
              </w:rPr>
              <w:t xml:space="preserve">Subcontractor → Contractor</w:t>
            </w:r>
          </w:p>
        </w:tc>
        <w:tc>
          <w:tcPr>
            <w:tcW w:type="pct" w:w="50%"/>
            <w:tcMar>
              <w:top w:type="dxa" w:w="80"/>
              <w:left w:type="dxa" w:w="120"/>
              <w:bottom w:type="dxa" w:w="80"/>
              <w:right w:type="dxa" w:w="120"/>
            </w:tcMar>
          </w:tcPr>
          <w:p>
            <w:pPr>
              <w:spacing w:after="60" w:before="60"/>
            </w:pPr>
            <w:r>
              <w:rPr>
                <w:b w:val="false"/>
                <w:bCs w:val="false"/>
                <w:sz w:val="20"/>
                <w:szCs w:val="20"/>
              </w:rPr>
              <w:t xml:space="preserve">Contractor → Customer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Transfer timing</w:t>
            </w:r>
          </w:p>
        </w:tc>
        <w:tc>
          <w:tcPr>
            <w:tcW w:type="pct" w:w="50%"/>
            <w:tcMar>
              <w:top w:type="dxa" w:w="80"/>
              <w:left w:type="dxa" w:w="120"/>
              <w:bottom w:type="dxa" w:w="80"/>
              <w:right w:type="dxa" w:w="120"/>
            </w:tcMar>
          </w:tcPr>
          <w:p>
            <w:pPr>
              <w:spacing w:after="60" w:before="60"/>
            </w:pPr>
            <w:r>
              <w:rPr>
                <w:b w:val="false"/>
                <w:bCs w:val="false"/>
                <w:sz w:val="20"/>
                <w:szCs w:val="20"/>
              </w:rPr>
              <w:t xml:space="preserve">Exclusively after full payment of all fees</w:t>
            </w:r>
          </w:p>
        </w:tc>
        <w:tc>
          <w:tcPr>
            <w:tcW w:type="pct" w:w="50%"/>
            <w:tcMar>
              <w:top w:type="dxa" w:w="80"/>
              <w:left w:type="dxa" w:w="120"/>
              <w:bottom w:type="dxa" w:w="80"/>
              <w:right w:type="dxa" w:w="120"/>
            </w:tcMar>
          </w:tcPr>
          <w:p>
            <w:pPr>
              <w:spacing w:after="60" w:before="60"/>
            </w:pPr>
            <w:r>
              <w:rPr>
                <w:b w:val="false"/>
                <w:bCs w:val="false"/>
                <w:sz w:val="20"/>
                <w:szCs w:val="20"/>
              </w:rPr>
              <w:t xml:space="preserve">Rolling, as payments are made</w:t>
            </w:r>
          </w:p>
        </w:tc>
      </w:tr>
      <w:tr>
        <w:tc>
          <w:tcPr>
            <w:tcW w:type="pct" w:w="50%"/>
            <w:tcMar>
              <w:top w:type="dxa" w:w="80"/>
              <w:left w:type="dxa" w:w="120"/>
              <w:bottom w:type="dxa" w:w="80"/>
              <w:right w:type="dxa" w:w="120"/>
            </w:tcMar>
          </w:tcPr>
          <w:p>
            <w:pPr>
              <w:spacing w:after="60" w:before="60"/>
            </w:pPr>
            <w:r>
              <w:rPr>
                <w:b w:val="false"/>
                <w:bCs w:val="false"/>
                <w:sz w:val="20"/>
                <w:szCs w:val="20"/>
              </w:rPr>
              <w:t xml:space="preserve">On termination</w:t>
            </w:r>
          </w:p>
        </w:tc>
        <w:tc>
          <w:tcPr>
            <w:tcW w:type="pct" w:w="50%"/>
            <w:tcMar>
              <w:top w:type="dxa" w:w="80"/>
              <w:left w:type="dxa" w:w="120"/>
              <w:bottom w:type="dxa" w:w="80"/>
              <w:right w:type="dxa" w:w="120"/>
            </w:tcMar>
          </w:tcPr>
          <w:p>
            <w:pPr>
              <w:spacing w:after="60" w:before="60"/>
            </w:pPr>
            <w:r>
              <w:rPr>
                <w:b w:val="false"/>
                <w:bCs w:val="false"/>
                <w:sz w:val="20"/>
                <w:szCs w:val="20"/>
              </w:rPr>
              <w:t xml:space="preserve">—</w:t>
            </w:r>
          </w:p>
        </w:tc>
        <w:tc>
          <w:tcPr>
            <w:tcW w:type="pct" w:w="50%"/>
            <w:tcMar>
              <w:top w:type="dxa" w:w="80"/>
              <w:left w:type="dxa" w:w="120"/>
              <w:bottom w:type="dxa" w:w="80"/>
              <w:right w:type="dxa" w:w="120"/>
            </w:tcMar>
          </w:tcPr>
          <w:p>
            <w:pPr>
              <w:spacing w:after="60" w:before="60"/>
            </w:pPr>
            <w:r>
              <w:rPr>
                <w:b w:val="false"/>
                <w:bCs w:val="false"/>
                <w:sz w:val="20"/>
                <w:szCs w:val="20"/>
              </w:rPr>
              <w:t xml:space="preserve">We transfer all paid-for work, including unfinished</w:t>
            </w:r>
          </w:p>
        </w:tc>
      </w:tr>
    </w:tbl>
    <w:p>
      <w:pPr>
        <w:spacing w:after="160" w:before="0"/>
      </w:pPr>
      <w:r>
        <w:t xml:space="preserve"/>
      </w:r>
    </w:p>
    <w:p>
      <w:pPr>
        <w:spacing w:after="180"/>
        <w:jc w:val="both"/>
      </w:pPr>
      <w:r>
        <w:rPr>
          <w:b/>
          <w:bCs/>
        </w:rPr>
        <w:t xml:space="preserve">Rolling IP transfer</w:t>
      </w:r>
      <w:r>
        <w:t xml:space="preserve"> is the important change. The client gets rights </w:t>
      </w:r>
      <w:r>
        <w:rPr>
          <w:b/>
          <w:bCs/>
        </w:rPr>
        <w:t xml:space="preserve">progressively as they pay</w:t>
      </w:r>
      <w:r>
        <w:t xml:space="preserve">, not "all or nothing after the last invoice." This protects the client if we stop working mid- project for any reason — they retain rights to what they paid for and can continue development with another contractor.</w:t>
      </w:r>
    </w:p>
    <w:p>
      <w:pPr>
        <w:pStyle w:val="Heading2"/>
        <w:keepNext/>
        <w:spacing w:after="180" w:before="360"/>
      </w:pPr>
      <w:r>
        <w:t xml:space="preserve">8. Limitation of Liability</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10.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Customer</w:t>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[Director Name],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Date: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Date: ___________</w:t>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Технічне завдання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Технічне завдання</dc:title>
  <dc:creator>Drafters</dc:creator>
  <dc:description>Exported from Drafters — Технічне завдання</dc:description>
  <cp:lastModifiedBy>Un-named</cp:lastModifiedBy>
  <cp:revision>1</cp:revision>
  <dcterms:created xsi:type="dcterms:W3CDTF">2026-04-13T08:49:30.690Z</dcterms:created>
  <dcterms:modified xsi:type="dcterms:W3CDTF">2026-04-13T08:49:30.690Z</dcterms:modified>
</cp:coreProperties>
</file>

<file path=docProps/custom.xml><?xml version="1.0" encoding="utf-8"?>
<Properties xmlns="http://schemas.openxmlformats.org/officeDocument/2006/custom-properties" xmlns:vt="http://schemas.openxmlformats.org/officeDocument/2006/docPropsVTypes"/>
</file>