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Договір субпідряду — Developer</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Subcontractor Agreement</w:t>
      </w:r>
    </w:p>
    <w:p>
      <w:pPr>
        <w:spacing w:after="180"/>
        <w:jc w:val="both"/>
      </w:pPr>
      <w:r>
        <w:rPr>
          <w:b/>
          <w:bCs/>
        </w:rPr>
        <w:t xml:space="preserve">Date:</w:t>
      </w:r>
      <w:r>
        <w:t xml:space="preserve"> ___________</w:t>
      </w:r>
    </w:p>
    <w:p>
      <w:pPr>
        <w:spacing w:after="180"/>
        <w:jc w:val="both"/>
      </w:pPr>
      <w:r>
        <w:rPr>
          <w:b/>
          <w:bCs/>
        </w:rPr>
        <w:t xml:space="preserve">Contractor:</w:t>
      </w:r>
      <w:r>
        <w:t xml:space="preserve"> </w:t>
      </w:r>
      <w:r>
        <w:rPr>
          <w:b/>
          <w:bCs/>
        </w:rPr>
        <w:t xml:space="preserve">Acme Services GmbH</w:t>
      </w:r>
      <w:r>
        <w:t xml:space="preserve">, a company incorporated under the laws of the Federal Republic of Germany, Registry code </w:t>
      </w:r>
      <w:r>
        <w:rPr>
          <w:b/>
          <w:bCs/>
        </w:rPr>
        <w:t xml:space="preserve">HRB123456X</w:t>
      </w:r>
      <w:r>
        <w:t xml:space="preserve">, VAT ID </w:t>
      </w:r>
      <w:r>
        <w:rPr>
          <w:b/>
          <w:bCs/>
        </w:rPr>
        <w:t xml:space="preserve">DE999888777</w:t>
      </w:r>
      <w:r>
        <w:t xml:space="preserve">, with its registered address at Musterstraße 1, Berlin, 10115, Germany, represented by its Director Jana Weber, acting on the basis of the Articles of Association (hereinafter the "</w:t>
      </w:r>
      <w:r>
        <w:rPr>
          <w:b/>
          <w:bCs/>
        </w:rPr>
        <w:t xml:space="preserve">Contractor</w:t>
      </w:r>
      <w:r>
        <w:t xml:space="preserve">").</w:t>
      </w:r>
    </w:p>
    <w:p>
      <w:pPr>
        <w:spacing w:after="180"/>
        <w:jc w:val="both"/>
      </w:pPr>
      <w:r>
        <w:rPr>
          <w:b/>
          <w:bCs/>
        </w:rPr>
        <w:t xml:space="preserve">Subcontractor:</w:t>
      </w:r>
      <w:r>
        <w:t xml:space="preserve"> __________</w:t>
      </w:r>
      <w:r>
        <w:rPr>
          <w:i/>
          <w:iCs/>
        </w:rPr>
        <w:t xml:space="preserve">, an individual entrepreneur (Private Entrepreneur), with address: </w:t>
      </w:r>
      <w:r>
        <w:t xml:space="preserve">_________</w:t>
      </w:r>
      <w:r>
        <w:rPr>
          <w:i/>
          <w:iCs/>
        </w:rPr>
        <w:t xml:space="preserve">, registration number </w:t>
      </w:r>
      <w:r>
        <w:t xml:space="preserve">__________ (hereinafter the "</w:t>
      </w:r>
      <w:r>
        <w:rPr>
          <w:b/>
          <w:bCs/>
        </w:rPr>
        <w:t xml:space="preserve">Subcontractor</w:t>
      </w:r>
      <w:r>
        <w:t xml:space="preserve">").</w:t>
      </w:r>
    </w:p>
    <w:p>
      <w:pPr>
        <w:spacing w:after="180"/>
        <w:jc w:val="both"/>
      </w:pPr>
      <w:r>
        <w:t xml:space="preserve">The Contractor and the Subcontractor are collectively referred to as the "</w:t>
      </w:r>
      <w:r>
        <w:rPr>
          <w:b/>
          <w:bCs/>
        </w:rPr>
        <w:t xml:space="preserve">Parties</w:t>
      </w:r>
      <w:r>
        <w:t xml:space="preserve">" and severally as a "</w:t>
      </w:r>
      <w:r>
        <w:rPr>
          <w:b/>
          <w:bCs/>
        </w:rPr>
        <w:t xml:space="preserve">Party</w:t>
      </w:r>
      <w:r>
        <w:t xml:space="preserve">".</w:t>
      </w:r>
    </w:p>
    <w:p>
      <w:pPr>
        <w:pStyle w:val="Heading2"/>
        <w:keepNext/>
        <w:spacing w:after="180" w:before="360"/>
      </w:pPr>
      <w:r>
        <w:t xml:space="preserve">1. Key Terms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Subcontractor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Software consulting and development (hereinafter the "</w:t>
            </w:r>
            <w:r>
              <w:rPr>
                <w:b/>
                <w:bCs/>
                <w:sz w:val="20"/>
                <w:szCs w:val="20"/>
              </w:rPr>
              <w:t xml:space="preserve">Services</w:t>
            </w:r>
            <w:r>
              <w:rPr>
                <w:b w:val="false"/>
                <w:bCs w:val="false"/>
                <w:sz w:val="20"/>
                <w:szCs w:val="20"/>
              </w:rPr>
              <w:t xml:space="preserve">")</w:t>
            </w:r>
          </w:p>
        </w:tc>
      </w:tr>
      <w:tr>
        <w:tc>
          <w:tcPr>
            <w:tcW w:type="pct" w:w="50%"/>
            <w:tcMar>
              <w:top w:type="dxa" w:w="80"/>
              <w:left w:type="dxa" w:w="120"/>
              <w:bottom w:type="dxa" w:w="80"/>
              <w:right w:type="dxa" w:w="120"/>
            </w:tcMar>
          </w:tcPr>
          <w:p>
            <w:pPr>
              <w:spacing w:after="60" w:before="60"/>
            </w:pPr>
            <w:r>
              <w:rPr>
                <w:b/>
                <w:bCs/>
                <w:sz w:val="20"/>
                <w:szCs w:val="20"/>
              </w:rPr>
              <w:t xml:space="preserve">Payments for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Post-payment according to the time-sheet submitted by the Subcontractor.</w:t>
            </w:r>
          </w:p>
        </w:tc>
      </w:tr>
      <w:tr>
        <w:tc>
          <w:tcPr>
            <w:tcW w:type="pct" w:w="50%"/>
            <w:tcMar>
              <w:top w:type="dxa" w:w="80"/>
              <w:left w:type="dxa" w:w="120"/>
              <w:bottom w:type="dxa" w:w="80"/>
              <w:right w:type="dxa" w:w="120"/>
            </w:tcMar>
          </w:tcPr>
          <w:p>
            <w:pPr>
              <w:spacing w:after="60" w:before="60"/>
            </w:pPr>
            <w:r>
              <w:rPr>
                <w:b/>
                <w:bCs/>
                <w:sz w:val="20"/>
                <w:szCs w:val="20"/>
              </w:rPr>
              <w:t xml:space="preserve">Invoicing</w:t>
            </w:r>
          </w:p>
        </w:tc>
        <w:tc>
          <w:tcPr>
            <w:tcW w:type="pct" w:w="50%"/>
            <w:tcMar>
              <w:top w:type="dxa" w:w="80"/>
              <w:left w:type="dxa" w:w="120"/>
              <w:bottom w:type="dxa" w:w="80"/>
              <w:right w:type="dxa" w:w="120"/>
            </w:tcMar>
          </w:tcPr>
          <w:p>
            <w:pPr>
              <w:spacing w:after="60" w:before="60"/>
            </w:pPr>
            <w:r>
              <w:rPr>
                <w:b w:val="false"/>
                <w:bCs w:val="false"/>
                <w:sz w:val="20"/>
                <w:szCs w:val="20"/>
              </w:rPr>
              <w:t xml:space="preserve">Every month. The Contractor must pay within </w:t>
            </w:r>
            <w:r>
              <w:rPr>
                <w:b/>
                <w:bCs/>
                <w:sz w:val="20"/>
                <w:szCs w:val="20"/>
              </w:rPr>
              <w:t xml:space="preserve">21 calendar days</w:t>
            </w:r>
            <w:r>
              <w:rPr>
                <w:b w:val="false"/>
                <w:bCs w:val="false"/>
                <w:sz w:val="20"/>
                <w:szCs w:val="20"/>
              </w:rPr>
              <w:t xml:space="preserve"> from the invoice date.</w:t>
            </w:r>
          </w:p>
        </w:tc>
      </w:tr>
      <w:tr>
        <w:tc>
          <w:tcPr>
            <w:tcW w:type="pct" w:w="50%"/>
            <w:tcMar>
              <w:top w:type="dxa" w:w="80"/>
              <w:left w:type="dxa" w:w="120"/>
              <w:bottom w:type="dxa" w:w="80"/>
              <w:right w:type="dxa" w:w="120"/>
            </w:tcMar>
          </w:tcPr>
          <w:p>
            <w:pPr>
              <w:spacing w:after="60" w:before="60"/>
            </w:pPr>
            <w:r>
              <w:rPr>
                <w:b/>
                <w:bCs/>
                <w:sz w:val="20"/>
                <w:szCs w:val="20"/>
              </w:rPr>
              <w:t xml:space="preserve">Payment transfers</w:t>
            </w:r>
          </w:p>
        </w:tc>
        <w:tc>
          <w:tcPr>
            <w:tcW w:type="pct" w:w="50%"/>
            <w:tcMar>
              <w:top w:type="dxa" w:w="80"/>
              <w:left w:type="dxa" w:w="120"/>
              <w:bottom w:type="dxa" w:w="80"/>
              <w:right w:type="dxa" w:w="120"/>
            </w:tcMar>
          </w:tcPr>
          <w:p>
            <w:pPr>
              <w:spacing w:after="60" w:before="60"/>
            </w:pPr>
            <w:r>
              <w:rPr>
                <w:b w:val="false"/>
                <w:bCs w:val="false"/>
                <w:sz w:val="20"/>
                <w:szCs w:val="20"/>
              </w:rPr>
              <w:t xml:space="preserve">To the banking account specified in the invoice. Each party covers their own bank charges and intermediary charges.</w:t>
            </w:r>
          </w:p>
        </w:tc>
      </w:tr>
      <w:tr>
        <w:tc>
          <w:tcPr>
            <w:tcW w:type="pct" w:w="50%"/>
            <w:tcMar>
              <w:top w:type="dxa" w:w="80"/>
              <w:left w:type="dxa" w:w="120"/>
              <w:bottom w:type="dxa" w:w="80"/>
              <w:right w:type="dxa" w:w="120"/>
            </w:tcMar>
          </w:tcPr>
          <w:p>
            <w:pPr>
              <w:spacing w:after="60" w:before="60"/>
            </w:pPr>
            <w:r>
              <w:rPr>
                <w:b/>
                <w:bCs/>
                <w:sz w:val="20"/>
                <w:szCs w:val="20"/>
              </w:rPr>
              <w:t xml:space="preserve">Overtime</w:t>
            </w:r>
          </w:p>
        </w:tc>
        <w:tc>
          <w:tcPr>
            <w:tcW w:type="pct" w:w="50%"/>
            <w:tcMar>
              <w:top w:type="dxa" w:w="80"/>
              <w:left w:type="dxa" w:w="120"/>
              <w:bottom w:type="dxa" w:w="80"/>
              <w:right w:type="dxa" w:w="120"/>
            </w:tcMar>
          </w:tcPr>
          <w:p>
            <w:pPr>
              <w:spacing w:after="60" w:before="60"/>
            </w:pPr>
            <w:r>
              <w:rPr>
                <w:b w:val="false"/>
                <w:bCs w:val="false"/>
                <w:sz w:val="20"/>
                <w:szCs w:val="20"/>
              </w:rPr>
              <w:t xml:space="preserve">Only with the Contractor's written approval.</w:t>
            </w:r>
          </w:p>
        </w:tc>
      </w:tr>
      <w:tr>
        <w:tc>
          <w:tcPr>
            <w:tcW w:type="pct" w:w="50%"/>
            <w:tcMar>
              <w:top w:type="dxa" w:w="80"/>
              <w:left w:type="dxa" w:w="120"/>
              <w:bottom w:type="dxa" w:w="80"/>
              <w:right w:type="dxa" w:w="120"/>
            </w:tcMar>
          </w:tcPr>
          <w:p>
            <w:pPr>
              <w:spacing w:after="60" w:before="60"/>
            </w:pPr>
            <w:r>
              <w:rPr>
                <w:b/>
                <w:bCs/>
                <w:sz w:val="20"/>
                <w:szCs w:val="20"/>
              </w:rPr>
              <w:t xml:space="preserve">Rate increase</w:t>
            </w:r>
          </w:p>
        </w:tc>
        <w:tc>
          <w:tcPr>
            <w:tcW w:type="pct" w:w="50%"/>
            <w:tcMar>
              <w:top w:type="dxa" w:w="80"/>
              <w:left w:type="dxa" w:w="120"/>
              <w:bottom w:type="dxa" w:w="80"/>
              <w:right w:type="dxa" w:w="120"/>
            </w:tcMar>
          </w:tcPr>
          <w:p>
            <w:pPr>
              <w:spacing w:after="60" w:before="60"/>
            </w:pPr>
            <w:r>
              <w:rPr>
                <w:b w:val="false"/>
                <w:bCs w:val="false"/>
                <w:sz w:val="20"/>
                <w:szCs w:val="20"/>
              </w:rPr>
              <w:t xml:space="preserve">No more than once every 12 months. Not more than </w:t>
            </w:r>
            <w:r>
              <w:rPr>
                <w:b/>
                <w:bCs/>
                <w:sz w:val="20"/>
                <w:szCs w:val="20"/>
              </w:rPr>
              <w:t xml:space="preserve">10%</w:t>
            </w:r>
            <w:r>
              <w:rPr>
                <w:b w:val="false"/>
                <w:bCs w:val="false"/>
                <w:sz w:val="20"/>
                <w:szCs w:val="20"/>
              </w:rPr>
              <w:t xml:space="preserve"> annually.</w:t>
            </w:r>
          </w:p>
        </w:tc>
      </w:tr>
    </w:tbl>
    <w:p>
      <w:pPr>
        <w:spacing w:after="160" w:before="0"/>
      </w:pPr>
      <w:r>
        <w:t xml:space="preserve"/>
      </w:r>
    </w:p>
    <w:p>
      <w:pPr>
        <w:pStyle w:val="Heading2"/>
        <w:keepNext/>
        <w:spacing w:after="180" w:before="360"/>
      </w:pPr>
      <w:r>
        <w:t xml:space="preserve">2. Payments for Services</w:t>
      </w:r>
    </w:p>
    <w:p>
      <w:pPr>
        <w:spacing w:after="180"/>
        <w:jc w:val="both"/>
      </w:pPr>
      <w:r>
        <w:rPr>
          <w:b/>
          <w:bCs/>
        </w:rPr>
        <w:t xml:space="preserve">Payment Dispute.</w:t>
      </w:r>
      <w:r>
        <w:t xml:space="preserve"> If any amount claimed as payable is disputed in good faith, the Contractor shall pay the undisputed portion and give a </w:t>
      </w:r>
      <w:r>
        <w:rPr>
          <w:b/>
          <w:bCs/>
        </w:rPr>
        <w:t xml:space="preserve">5 business days</w:t>
      </w:r>
      <w:r>
        <w:t xml:space="preserve"> notice specifying the basis of the dispute in reasonable detail.</w:t>
      </w:r>
    </w:p>
    <w:p>
      <w:pPr>
        <w:spacing w:after="180"/>
        <w:jc w:val="both"/>
      </w:pPr>
      <w:r>
        <w:t xml:space="preserve">Payments that are undisputed by the Contractor within 5 business days of receipt are considered accepted.</w:t>
      </w:r>
    </w:p>
    <w:p>
      <w:pPr>
        <w:pStyle w:val="Heading2"/>
        <w:keepNext/>
        <w:spacing w:after="180" w:before="360"/>
      </w:pPr>
      <w:r>
        <w:t xml:space="preserve">3. Non-solicitation</w:t>
      </w:r>
    </w:p>
    <w:p>
      <w:pPr>
        <w:spacing w:after="180"/>
        <w:jc w:val="both"/>
      </w:pPr>
      <w:r>
        <w:rPr>
          <w:b/>
          <w:bCs/>
        </w:rPr>
        <w:t xml:space="preserve">Non-solicitation period.</w:t>
      </w:r>
      <w:r>
        <w:t xml:space="preserve"> During the term of this agreement and for </w:t>
      </w:r>
      <w:r>
        <w:rPr>
          <w:b/>
          <w:bCs/>
        </w:rPr>
        <w:t xml:space="preserve">1 year after its termination</w:t>
      </w:r>
      <w:r>
        <w:t xml:space="preserve">, neither party shall solicit, hire or encourage the departure of any person who is an employee, contractor or subcontractor of the other party.</w:t>
      </w:r>
    </w:p>
    <w:p>
      <w:pPr>
        <w:spacing w:after="180"/>
        <w:jc w:val="both"/>
      </w:pPr>
      <w:r>
        <w:rPr>
          <w:b/>
          <w:bCs/>
        </w:rPr>
        <w:t xml:space="preserve">Inbound job requests.</w:t>
      </w:r>
      <w:r>
        <w:t xml:space="preserve"> If any such person </w:t>
      </w:r>
      <w:r>
        <w:rPr>
          <w:b/>
          <w:bCs/>
        </w:rPr>
        <w:t xml:space="preserve">independently</w:t>
      </w:r>
      <w:r>
        <w:t xml:space="preserve"> approaches the other party about employment, that party shall immediately suspend the request and notify the first party.</w:t>
      </w:r>
    </w:p>
    <w:p>
      <w:pPr>
        <w:pStyle w:val="Heading2"/>
        <w:keepNext/>
        <w:spacing w:after="180" w:before="360"/>
      </w:pPr>
      <w:r>
        <w:t xml:space="preserve">4. Non-compete</w:t>
      </w:r>
    </w:p>
    <w:p>
      <w:pPr>
        <w:spacing w:after="180"/>
        <w:jc w:val="both"/>
      </w:pPr>
      <w:r>
        <w:t xml:space="preserve">During the term of this agreement and for </w:t>
      </w:r>
      <w:r>
        <w:rPr>
          <w:b/>
          <w:bCs/>
        </w:rPr>
        <w:t xml:space="preserve">1 year after its termination</w:t>
      </w:r>
      <w:r>
        <w:t xml:space="preserve">, the Subcontractor may not engage in any business activity with persons who were clients of the Contractor and whose existence the Subcontractor became aware of while performing this agreement.</w:t>
      </w:r>
    </w:p>
    <w:p>
      <w:pPr>
        <w:pStyle w:val="Heading2"/>
        <w:keepNext/>
        <w:spacing w:after="180" w:before="360"/>
      </w:pPr>
      <w:r>
        <w:t xml:space="preserve">5. Deliverables and Intellectual Property</w:t>
      </w:r>
    </w:p>
    <w:p>
      <w:pPr>
        <w:spacing w:after="180"/>
        <w:jc w:val="both"/>
      </w:pPr>
      <w:r>
        <w:rPr>
          <w:b/>
          <w:bCs/>
        </w:rPr>
        <w:t xml:space="preserve">Final Works.</w:t>
      </w:r>
      <w:r>
        <w:t xml:space="preserve"> The Subcontractor transfers to the Contractor all the intellectual property rights for all the materials developed for or provided to the Contractor through the performance of Services (Deliverables) — </w:t>
      </w:r>
      <w:r>
        <w:rPr>
          <w:b/>
          <w:bCs/>
        </w:rPr>
        <w:t xml:space="preserve">exclusively after full payment</w:t>
      </w:r>
      <w:r>
        <w:t xml:space="preserve"> of all fees and costs.</w:t>
      </w:r>
    </w:p>
    <w:p>
      <w:pPr>
        <w:spacing w:after="180"/>
        <w:jc w:val="both"/>
      </w:pPr>
      <w:r>
        <w:rPr>
          <w:b/>
          <w:bCs/>
        </w:rPr>
        <w:t xml:space="preserve">Open-source code.</w:t>
      </w:r>
      <w:r>
        <w:t xml:space="preserve"> The Subcontractor warrants that it has not included or used, and will not include or use, any Open-Source Software or any libraries or code licensed under the General Public License (GPL), AGPL or anything similar, where such license would require our Software to be licensed onwards, without prior written consent of the Contractor.</w:t>
      </w:r>
    </w:p>
    <w:p>
      <w:pPr>
        <w:pStyle w:val="Heading2"/>
        <w:keepNext/>
        <w:spacing w:after="180" w:before="360"/>
      </w:pPr>
      <w:r>
        <w:t xml:space="preserve">6. Publicity</w:t>
      </w:r>
    </w:p>
    <w:p>
      <w:pPr>
        <w:spacing w:after="180"/>
        <w:jc w:val="both"/>
      </w:pPr>
      <w:r>
        <w:t xml:space="preserve">The Subcontractor may mention the fact of Services provided to the Contractor on its own website solely for marketing purposes.</w:t>
      </w:r>
    </w:p>
    <w:p>
      <w:pPr>
        <w:pStyle w:val="Heading2"/>
        <w:keepNext/>
        <w:spacing w:after="180" w:before="360"/>
      </w:pPr>
      <w:r>
        <w:t xml:space="preserve">7. Term and Termination</w:t>
      </w:r>
    </w:p>
    <w:p>
      <w:pPr>
        <w:spacing w:after="180"/>
        <w:jc w:val="both"/>
      </w:pPr>
      <w:r>
        <w:rPr>
          <w:b/>
          <w:bCs/>
        </w:rPr>
        <w:t xml:space="preserve">Term.</w:t>
      </w:r>
      <w:r>
        <w:t xml:space="preserve"> This agreement takes effect on the Start date and continues until terminated by either party in accordance with the terms below.</w:t>
      </w:r>
    </w:p>
    <w:p>
      <w:pPr>
        <w:spacing w:after="180"/>
        <w:jc w:val="both"/>
      </w:pPr>
      <w:r>
        <w:rPr>
          <w:b/>
          <w:bCs/>
        </w:rPr>
        <w:t xml:space="preserve">Termination by Contractor (first 3 months).</w:t>
      </w:r>
      <w:r>
        <w:t xml:space="preserve"> During the first </w:t>
      </w:r>
      <w:r>
        <w:rPr>
          <w:b/>
          <w:bCs/>
        </w:rPr>
        <w:t xml:space="preserve">three (3) months</w:t>
      </w:r>
      <w:r>
        <w:t xml:space="preserve"> from the Start date, the Contractor may terminate this agreement at any time by giving the Subcontractor </w:t>
      </w:r>
      <w:r>
        <w:rPr>
          <w:b/>
          <w:bCs/>
        </w:rPr>
        <w:t xml:space="preserve">1 day</w:t>
      </w:r>
      <w:r>
        <w:t xml:space="preserve"> prior written notice.</w:t>
      </w:r>
    </w:p>
    <w:p>
      <w:pPr>
        <w:spacing w:after="180"/>
        <w:jc w:val="both"/>
      </w:pPr>
      <w:r>
        <w:rPr>
          <w:b/>
          <w:bCs/>
        </w:rPr>
        <w:t xml:space="preserve">Termination by Contractor (after 3 months).</w:t>
      </w:r>
      <w:r>
        <w:t xml:space="preserve"> After the initial three-month period, the Contractor may terminate this agreement at any time by giving the Subcontractor </w:t>
      </w:r>
      <w:r>
        <w:rPr>
          <w:b/>
          <w:bCs/>
        </w:rPr>
        <w:t xml:space="preserve">14 days</w:t>
      </w:r>
      <w:r>
        <w:t xml:space="preserve"> prior written notice.</w:t>
      </w:r>
    </w:p>
    <w:p>
      <w:pPr>
        <w:spacing w:after="180"/>
        <w:jc w:val="both"/>
      </w:pPr>
      <w:r>
        <w:rPr>
          <w:b/>
          <w:bCs/>
        </w:rPr>
        <w:t xml:space="preserve">Termination by Subcontractor.</w:t>
      </w:r>
      <w:r>
        <w:t xml:space="preserve"> The Subcontractor may terminate this agreement at any time by giving the Contractor </w:t>
      </w:r>
      <w:r>
        <w:rPr>
          <w:b/>
          <w:bCs/>
        </w:rPr>
        <w:t xml:space="preserve">14 days</w:t>
      </w:r>
      <w:r>
        <w:t xml:space="preserve"> prior written notice, regardless of the duration of the agreement.</w:t>
      </w:r>
    </w:p>
    <w:p>
      <w:pPr>
        <w:pStyle w:val="Heading2"/>
        <w:keepNext/>
        <w:spacing w:after="180" w:before="360"/>
      </w:pPr>
      <w:r>
        <w:t xml:space="preserve">8. Limitation of Liability and Indemnification</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keepNext/>
        <w:spacing w:after="180" w:before="360"/>
      </w:pPr>
      <w:r>
        <w:t xml:space="preserve">9. Effect of Termination</w:t>
      </w:r>
    </w:p>
    <w:p>
      <w:pPr>
        <w:spacing w:after="18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8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8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keepNext/>
        <w:spacing w:after="180" w:before="360"/>
      </w:pPr>
      <w:r>
        <w:t xml:space="preserve">Three separate obligations</w:t>
      </w:r>
    </w:p>
    <w:p>
      <w:pPr>
        <w:spacing w:after="180"/>
        <w:jc w:val="both"/>
      </w:pPr>
      <w:r>
        <w:t xml:space="preserve">This clause breaks into three independent duties:</w:t>
      </w:r>
    </w:p>
    <w:p>
      <w:pPr>
        <w:pStyle w:val="Heading3"/>
        <w:keepNext/>
        <w:spacing w:after="120" w:before="240"/>
      </w:pPr>
      <w:r>
        <w:t xml:space="preserve">1. Settlement (Payment Obligations)</w:t>
      </w:r>
    </w:p>
    <w:p>
      <w:pPr>
        <w:spacing w:after="18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80"/>
        <w:jc w:val="both"/>
      </w:pPr>
      <w:r>
        <w:t xml:space="preserve">termination, we must settle.</w:t>
      </w:r>
    </w:p>
    <w:p>
      <w:pPr>
        <w:pStyle w:val="ListParagraph"/>
        <w:numPr>
          <w:ilvl w:val="0"/>
          <w:numId w:val="1"/>
        </w:numPr>
        <w:spacing w:after="60"/>
      </w:pPr>
      <w:r>
        <w:rPr>
          <w:b/>
          <w:bCs/>
        </w:rPr>
        <w:t xml:space="preserve">Their debt</w:t>
      </w:r>
      <w:r>
        <w:t xml:space="preserve"> — if we pre-paid for work not yet done, they</w:t>
      </w:r>
    </w:p>
    <w:p>
      <w:pPr>
        <w:spacing w:after="180"/>
        <w:jc w:val="both"/>
      </w:pPr>
      <w:r>
        <w:t xml:space="preserve">refund (or we agree to credit against future projects).</w:t>
      </w:r>
    </w:p>
    <w:p>
      <w:pPr>
        <w:pStyle w:val="Heading3"/>
        <w:keepNext/>
        <w:spacing w:after="120" w:before="240"/>
      </w:pPr>
      <w:r>
        <w:t xml:space="preserve">2. Handover (Performer obligations)</w:t>
      </w:r>
    </w:p>
    <w:p>
      <w:pPr>
        <w:spacing w:after="18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80"/>
        <w:jc w:val="both"/>
      </w:pPr>
      <w:r>
        <w:t xml:space="preserve">to the principal</w:t>
      </w:r>
    </w:p>
    <w:p>
      <w:pPr>
        <w:spacing w:after="180"/>
        <w:jc w:val="both"/>
      </w:pPr>
      <w:r>
        <w:t xml:space="preserve">If the performer ignores this clause, we have legal grounds to demand performance and to withhold the final payment until handover is complete.</w:t>
      </w:r>
    </w:p>
    <w:p>
      <w:pPr>
        <w:pStyle w:val="Heading3"/>
        <w:keepNext/>
        <w:spacing w:after="120" w:before="240"/>
      </w:pPr>
      <w:r>
        <w:t xml:space="preserve">3. Survival</w:t>
      </w:r>
    </w:p>
    <w:p>
      <w:pPr>
        <w:spacing w:after="18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80"/>
        <w:jc w:val="both"/>
      </w:pPr>
      <w:r>
        <w:t xml:space="preserve">principal</w:t>
      </w:r>
    </w:p>
    <w:p>
      <w:pPr>
        <w:pStyle w:val="ListParagraph"/>
        <w:numPr>
          <w:ilvl w:val="0"/>
          <w:numId w:val="1"/>
        </w:numPr>
        <w:spacing w:after="60"/>
      </w:pPr>
      <w:r>
        <w:rPr>
          <w:b/>
          <w:bCs/>
        </w:rPr>
        <w:t xml:space="preserve">Confidentiality</w:t>
      </w:r>
      <w:r>
        <w:t xml:space="preserve"> — anything disclosed remains confidential</w:t>
      </w:r>
    </w:p>
    <w:p>
      <w:pPr>
        <w:spacing w:after="180"/>
        <w:jc w:val="both"/>
      </w:pPr>
      <w:r>
        <w:t xml:space="preserve">(per Mutual Confidentiality terms)</w:t>
      </w:r>
    </w:p>
    <w:p>
      <w:pPr>
        <w:pStyle w:val="ListParagraph"/>
        <w:numPr>
          <w:ilvl w:val="0"/>
          <w:numId w:val="1"/>
        </w:numPr>
        <w:spacing w:after="60"/>
      </w:pPr>
      <w:r>
        <w:rPr>
          <w:b/>
          <w:bCs/>
        </w:rPr>
        <w:t xml:space="preserve">Non-solicitation</w:t>
      </w:r>
      <w:r>
        <w:t xml:space="preserve"> — 1 year in subcontracts runs from Start</w:t>
      </w:r>
    </w:p>
    <w:p>
      <w:pPr>
        <w:spacing w:after="180"/>
        <w:jc w:val="both"/>
      </w:pPr>
      <w:r>
        <w:t xml:space="preserve">date, not from termination</w:t>
      </w:r>
    </w:p>
    <w:p>
      <w:pPr>
        <w:pStyle w:val="ListParagraph"/>
        <w:numPr>
          <w:ilvl w:val="0"/>
          <w:numId w:val="1"/>
        </w:numPr>
        <w:spacing w:after="60"/>
      </w:pPr>
      <w:r>
        <w:rPr>
          <w:b/>
          <w:bCs/>
        </w:rPr>
        <w:t xml:space="preserve">Non-compete</w:t>
      </w:r>
      <w:r>
        <w:t xml:space="preserve"> — same</w:t>
      </w:r>
    </w:p>
    <w:p>
      <w:pPr>
        <w:spacing w:after="180"/>
        <w:jc w:val="both"/>
      </w:pPr>
      <w:r>
        <w:t xml:space="preserve">Survival is the key mechanism that makes a clean termination possible: if you exit, you don't walk away with the IP, clients, confidential information, or the right to poach.</w:t>
      </w:r>
    </w:p>
    <w:p>
      <w:pPr>
        <w:pStyle w:val="Heading2"/>
        <w:keepNext/>
        <w:spacing w:after="180" w:before="360"/>
      </w:pPr>
      <w:r>
        <w:t xml:space="preserve">10.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11.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Acme Services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Subcontractor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Registry code: HRB123456X</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Jurisdiction: Germany</w:t>
            </w:r>
          </w:p>
        </w:tc>
        <w:tc>
          <w:tcPr>
            <w:tcW w:type="pct" w:w="50%"/>
            <w:tcMar>
              <w:top w:type="dxa" w:w="80"/>
              <w:left w:type="dxa" w:w="120"/>
              <w:bottom w:type="dxa" w:w="80"/>
              <w:right w:type="dxa" w:w="120"/>
            </w:tcMar>
          </w:tcPr>
          <w:p>
            <w:pPr>
              <w:spacing w:after="60" w:before="60"/>
            </w:pPr>
            <w:r>
              <w:rPr>
                <w:b w:val="false"/>
                <w:bCs w:val="false"/>
                <w:sz w:val="20"/>
                <w:szCs w:val="20"/>
              </w:rPr>
              <w:t xml:space="preserve">Jurisdiction: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Musterstraße 1, Berlin, 10115, Germany</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VAT ID: DE999888777</w:t>
            </w:r>
          </w:p>
        </w:tc>
        <w:tc>
          <w:tcPr>
            <w:tcW w:type="pct" w:w="50%"/>
            <w:tcMar>
              <w:top w:type="dxa" w:w="80"/>
              <w:left w:type="dxa" w:w="120"/>
              <w:bottom w:type="dxa" w:w="80"/>
              <w:right w:type="dxa" w:w="120"/>
            </w:tcMar>
          </w:tcPr>
          <w:p>
            <w:pPr>
              <w:spacing w:after="60" w:before="60"/>
            </w:pPr>
            <w:r>
              <w:rPr>
                <w:b w:val="false"/>
                <w:bCs w:val="false"/>
                <w:sz w:val="20"/>
                <w:szCs w:val="20"/>
              </w:rPr>
              <w:t xml:space="preserve">VAT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Jana Weber,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Attachment A — Rate Sheet</w:t>
      </w:r>
    </w:p>
    <w:p>
      <w:pPr>
        <w:spacing w:after="180"/>
        <w:jc w:val="both"/>
      </w:pPr>
      <w:r>
        <w:t xml:space="preserve">To the Subcontractor Agreement dated ___________.</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Role</w:t>
            </w:r>
          </w:p>
        </w:tc>
        <w:tc>
          <w:tcPr>
            <w:tcW w:type="pct" w:w="50%"/>
            <w:shd w:fill="EEE9D4" w:val="clear"/>
            <w:tcMar>
              <w:top w:type="dxa" w:w="80"/>
              <w:left w:type="dxa" w:w="120"/>
              <w:bottom w:type="dxa" w:w="80"/>
              <w:right w:type="dxa" w:w="120"/>
            </w:tcMar>
          </w:tcPr>
          <w:p>
            <w:pPr>
              <w:spacing w:after="60" w:before="60"/>
            </w:pPr>
            <w:r>
              <w:rPr>
                <w:b/>
                <w:bCs/>
                <w:sz w:val="20"/>
                <w:szCs w:val="20"/>
              </w:rPr>
              <w:t xml:space="preserve">Hourly rate, USD</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p>
      <w:pPr>
        <w:spacing w:after="180"/>
        <w:jc w:val="both"/>
      </w:pPr>
      <w:r>
        <w:rPr>
          <w:b/>
          <w:bCs/>
        </w:rPr>
        <w:t xml:space="preserve">Acme Services GmbH</w:t>
      </w:r>
      <w:r>
        <w:t xml:space="preserve"> </w:t>
      </w:r>
      <w:r>
        <w:rPr>
          <w:b/>
          <w:bCs/>
        </w:rPr>
        <w:t xml:space="preserve">Subcontractor</w:t>
      </w:r>
      <w:r>
        <w:t xml:space="preserve"> Signature: __________</w:t>
      </w:r>
      <w:r>
        <w:rPr>
          <w:i/>
          <w:iCs/>
        </w:rPr>
        <w:t xml:space="preserve"> Signature: </w:t>
      </w:r>
      <w:r>
        <w:t xml:space="preserve">_________</w:t>
      </w:r>
      <w:r>
        <w:rPr>
          <w:i/>
          <w:iCs/>
        </w:rPr>
        <w:t xml:space="preserve"> Jana Weber, Director </w:t>
      </w:r>
      <w:r>
        <w:t xml:space="preserve">__________</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Договір субпідряду — Developer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субпідряду — Developer</dc:title>
  <dc:creator>Drafters</dc:creator>
  <dc:description>Exported from Drafters — Договір субпідряду — Developer</dc:description>
  <cp:lastModifiedBy>Un-named</cp:lastModifiedBy>
  <cp:revision>1</cp:revision>
  <dcterms:created xsi:type="dcterms:W3CDTF">2026-04-13T08:49:30.698Z</dcterms:created>
  <dcterms:modified xsi:type="dcterms:W3CDTF">2026-04-13T08:49:30.698Z</dcterms:modified>
</cp:coreProperties>
</file>

<file path=docProps/custom.xml><?xml version="1.0" encoding="utf-8"?>
<Properties xmlns="http://schemas.openxmlformats.org/officeDocument/2006/custom-properties" xmlns:vt="http://schemas.openxmlformats.org/officeDocument/2006/docPropsVTypes"/>
</file>