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600"/>
        <w:jc w:val="center"/>
      </w:pPr>
      <w:r>
        <w:rPr>
          <w:rFonts w:ascii="Georgia" w:cs="Georgia" w:eastAsia="Georgia" w:hAnsi="Georgia"/>
          <w:b/>
          <w:bCs/>
          <w:sz w:val="48"/>
          <w:szCs w:val="48"/>
        </w:rPr>
        <w:t xml:space="preserve">Договір Time &amp; Materials</w:t>
      </w:r>
    </w:p>
    <w:p>
      <w:pPr>
        <w:spacing w:after="120"/>
        <w:jc w:val="center"/>
      </w:pPr>
      <w:r>
        <w:rPr>
          <w:rFonts w:ascii="Georgia" w:cs="Georgia" w:eastAsia="Georgia" w:hAnsi="Georgia"/>
          <w:color w:val="8A8578"/>
          <w:sz w:val="18"/>
          <w:szCs w:val="18"/>
        </w:rPr>
        <w:t xml:space="preserve">Drafters</w:t>
      </w:r>
    </w:p>
    <w:p>
      <w:r>
        <w:r>
          <w:br w:type="page"/>
        </w:r>
      </w:r>
    </w:p>
    <w:p>
      <w:pPr>
        <w:pStyle w:val="Heading1"/>
        <w:keepNext/>
        <w:spacing w:after="180" w:before="360"/>
      </w:pPr>
      <w:r>
        <w:t xml:space="preserve">Time &amp; Materials Agreement</w:t>
      </w:r>
    </w:p>
    <w:p>
      <w:pPr>
        <w:spacing w:after="180"/>
        <w:jc w:val="both"/>
      </w:pPr>
      <w:r>
        <w:rPr>
          <w:b/>
          <w:bCs/>
        </w:rPr>
        <w:t xml:space="preserve">Start date:</w:t>
      </w:r>
      <w:r>
        <w:t xml:space="preserve"> ___________</w:t>
      </w:r>
    </w:p>
    <w:p>
      <w:pPr>
        <w:spacing w:after="180"/>
        <w:jc w:val="both"/>
      </w:pPr>
      <w:r>
        <w:rPr>
          <w:b/>
          <w:bCs/>
        </w:rPr>
        <w:t xml:space="preserve">Contractor:</w:t>
      </w:r>
      <w:r>
        <w:t xml:space="preserve"> </w:t>
      </w:r>
      <w:r>
        <w:rPr>
          <w:b/>
          <w:bCs/>
        </w:rPr>
        <w:t xml:space="preserve">Acme Services GmbH</w:t>
      </w:r>
      <w:r>
        <w:t xml:space="preserve">, a company incorporated under the laws of the Federal Republic of Germany, Registry code </w:t>
      </w:r>
      <w:r>
        <w:rPr>
          <w:b/>
          <w:bCs/>
        </w:rPr>
        <w:t xml:space="preserve">HRB123456X</w:t>
      </w:r>
      <w:r>
        <w:t xml:space="preserve">, VAT ID </w:t>
      </w:r>
      <w:r>
        <w:rPr>
          <w:b/>
          <w:bCs/>
        </w:rPr>
        <w:t xml:space="preserve">DE999888777</w:t>
      </w:r>
      <w:r>
        <w:t xml:space="preserve">, with its registered address at Musterstraße 1, Berlin, 10115, Germany, represented by its Director [Director Name] (hereinafter the "</w:t>
      </w:r>
      <w:r>
        <w:rPr>
          <w:b/>
          <w:bCs/>
        </w:rPr>
        <w:t xml:space="preserve">Contractor</w:t>
      </w:r>
      <w:r>
        <w:t xml:space="preserve">").</w:t>
      </w:r>
    </w:p>
    <w:p>
      <w:pPr>
        <w:spacing w:after="180"/>
        <w:jc w:val="both"/>
      </w:pPr>
      <w:r>
        <w:rPr>
          <w:b/>
          <w:bCs/>
        </w:rPr>
        <w:t xml:space="preserve">Customer:</w:t>
      </w:r>
      <w:r>
        <w:t xml:space="preserve"> ___________ (hereinafter the "</w:t>
      </w:r>
      <w:r>
        <w:rPr>
          <w:b/>
          <w:bCs/>
        </w:rPr>
        <w:t xml:space="preserve">Customer</w:t>
      </w:r>
      <w:r>
        <w:t xml:space="preserve">").</w:t>
      </w:r>
    </w:p>
    <w:p>
      <w:pPr>
        <w:spacing w:after="180"/>
        <w:jc w:val="both"/>
      </w:pPr>
      <w:r>
        <w:rPr>
          <w:b/>
          <w:bCs/>
        </w:rPr>
        <w:t xml:space="preserve">Whereas</w:t>
      </w:r>
      <w:r>
        <w:t xml:space="preserve"> the Customer desires to engage the Contractor to provide software development and consulting services on a time-and-materials basis, and the Contractor agrees to provide such services subject to the terms below.</w:t>
      </w:r>
    </w:p>
    <w:p>
      <w:pPr>
        <w:pStyle w:val="Heading2"/>
        <w:keepNext/>
        <w:spacing w:after="180" w:before="360"/>
      </w:pPr>
      <w:r>
        <w:t xml:space="preserve">1. Key Terms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Parameter</w:t>
            </w:r>
          </w:p>
        </w:tc>
        <w:tc>
          <w:tcPr>
            <w:tcW w:type="pct" w:w="50%"/>
            <w:shd w:fill="EEE9D4" w:val="clear"/>
            <w:tcMar>
              <w:top w:type="dxa" w:w="80"/>
              <w:left w:type="dxa" w:w="120"/>
              <w:bottom w:type="dxa" w:w="80"/>
              <w:right w:type="dxa" w:w="120"/>
            </w:tcMar>
          </w:tcPr>
          <w:p>
            <w:pPr>
              <w:spacing w:after="60" w:before="60"/>
            </w:pPr>
            <w:r>
              <w:rPr>
                <w:b/>
                <w:bCs/>
                <w:sz w:val="20"/>
                <w:szCs w:val="20"/>
              </w:rPr>
              <w:t xml:space="preserve">Value</w:t>
            </w:r>
          </w:p>
        </w:tc>
      </w:tr>
      <w:tr>
        <w:tc>
          <w:tcPr>
            <w:tcW w:type="pct" w:w="50%"/>
            <w:tcMar>
              <w:top w:type="dxa" w:w="80"/>
              <w:left w:type="dxa" w:w="120"/>
              <w:bottom w:type="dxa" w:w="80"/>
              <w:right w:type="dxa" w:w="120"/>
            </w:tcMar>
          </w:tcPr>
          <w:p>
            <w:pPr>
              <w:spacing w:after="60" w:before="60"/>
            </w:pPr>
            <w:r>
              <w:rPr>
                <w:b/>
                <w:bCs/>
                <w:sz w:val="20"/>
                <w:szCs w:val="20"/>
              </w:rPr>
              <w:t xml:space="preserve">Service provided</w:t>
            </w:r>
          </w:p>
        </w:tc>
        <w:tc>
          <w:tcPr>
            <w:tcW w:type="pct" w:w="50%"/>
            <w:tcMar>
              <w:top w:type="dxa" w:w="80"/>
              <w:left w:type="dxa" w:w="120"/>
              <w:bottom w:type="dxa" w:w="80"/>
              <w:right w:type="dxa" w:w="120"/>
            </w:tcMar>
          </w:tcPr>
          <w:p>
            <w:pPr>
              <w:spacing w:after="60" w:before="60"/>
            </w:pPr>
            <w:r>
              <w:rPr>
                <w:b w:val="false"/>
                <w:bCs w:val="false"/>
                <w:sz w:val="20"/>
                <w:szCs w:val="20"/>
              </w:rPr>
              <w:t xml:space="preserve">Software development and IT consulting (hereinafter the "</w:t>
            </w:r>
            <w:r>
              <w:rPr>
                <w:b/>
                <w:bCs/>
                <w:sz w:val="20"/>
                <w:szCs w:val="20"/>
              </w:rPr>
              <w:t xml:space="preserve">Services</w:t>
            </w:r>
            <w:r>
              <w:rPr>
                <w:b w:val="false"/>
                <w:bCs w:val="false"/>
                <w:sz w:val="20"/>
                <w:szCs w:val="20"/>
              </w:rPr>
              <w:t xml:space="preserve">")</w:t>
            </w:r>
          </w:p>
        </w:tc>
      </w:tr>
      <w:tr>
        <w:tc>
          <w:tcPr>
            <w:tcW w:type="pct" w:w="50%"/>
            <w:tcMar>
              <w:top w:type="dxa" w:w="80"/>
              <w:left w:type="dxa" w:w="120"/>
              <w:bottom w:type="dxa" w:w="80"/>
              <w:right w:type="dxa" w:w="120"/>
            </w:tcMar>
          </w:tcPr>
          <w:p>
            <w:pPr>
              <w:spacing w:after="60" w:before="60"/>
            </w:pPr>
            <w:r>
              <w:rPr>
                <w:b/>
                <w:bCs/>
                <w:sz w:val="20"/>
                <w:szCs w:val="20"/>
              </w:rPr>
              <w:t xml:space="preserve">Billing model</w:t>
            </w:r>
          </w:p>
        </w:tc>
        <w:tc>
          <w:tcPr>
            <w:tcW w:type="pct" w:w="50%"/>
            <w:tcMar>
              <w:top w:type="dxa" w:w="80"/>
              <w:left w:type="dxa" w:w="120"/>
              <w:bottom w:type="dxa" w:w="80"/>
              <w:right w:type="dxa" w:w="120"/>
            </w:tcMar>
          </w:tcPr>
          <w:p>
            <w:pPr>
              <w:spacing w:after="60" w:before="60"/>
            </w:pPr>
            <w:r>
              <w:rPr>
                <w:b/>
                <w:bCs/>
                <w:sz w:val="20"/>
                <w:szCs w:val="20"/>
              </w:rPr>
              <w:t xml:space="preserve">Time &amp; Materials</w:t>
            </w:r>
            <w:r>
              <w:rPr>
                <w:b w:val="false"/>
                <w:bCs w:val="false"/>
                <w:sz w:val="20"/>
                <w:szCs w:val="20"/>
              </w:rPr>
              <w:t xml:space="preserve"> — monthly billing based on actual hours worked</w:t>
            </w:r>
          </w:p>
        </w:tc>
      </w:tr>
      <w:tr>
        <w:tc>
          <w:tcPr>
            <w:tcW w:type="pct" w:w="50%"/>
            <w:tcMar>
              <w:top w:type="dxa" w:w="80"/>
              <w:left w:type="dxa" w:w="120"/>
              <w:bottom w:type="dxa" w:w="80"/>
              <w:right w:type="dxa" w:w="120"/>
            </w:tcMar>
          </w:tcPr>
          <w:p>
            <w:pPr>
              <w:spacing w:after="60" w:before="60"/>
            </w:pPr>
            <w:r>
              <w:rPr>
                <w:b/>
                <w:bCs/>
                <w:sz w:val="20"/>
                <w:szCs w:val="20"/>
              </w:rPr>
              <w:t xml:space="preserve">Invoicing</w:t>
            </w:r>
          </w:p>
        </w:tc>
        <w:tc>
          <w:tcPr>
            <w:tcW w:type="pct" w:w="50%"/>
            <w:tcMar>
              <w:top w:type="dxa" w:w="80"/>
              <w:left w:type="dxa" w:w="120"/>
              <w:bottom w:type="dxa" w:w="80"/>
              <w:right w:type="dxa" w:w="120"/>
            </w:tcMar>
          </w:tcPr>
          <w:p>
            <w:pPr>
              <w:spacing w:after="60" w:before="60"/>
            </w:pPr>
            <w:r>
              <w:rPr>
                <w:b w:val="false"/>
                <w:bCs w:val="false"/>
                <w:sz w:val="20"/>
                <w:szCs w:val="20"/>
              </w:rPr>
              <w:t xml:space="preserve">Monthly, within </w:t>
            </w:r>
            <w:r>
              <w:rPr>
                <w:b/>
                <w:bCs/>
                <w:sz w:val="20"/>
                <w:szCs w:val="20"/>
              </w:rPr>
              <w:t xml:space="preserve">5 business days</w:t>
            </w:r>
            <w:r>
              <w:rPr>
                <w:b w:val="false"/>
                <w:bCs w:val="false"/>
                <w:sz w:val="20"/>
                <w:szCs w:val="20"/>
              </w:rPr>
              <w:t xml:space="preserve"> after the end of each calendar month. The Customer must pay within </w:t>
            </w:r>
            <w:r>
              <w:rPr>
                <w:b/>
                <w:bCs/>
                <w:sz w:val="20"/>
                <w:szCs w:val="20"/>
              </w:rPr>
              <w:t xml:space="preserve">15 calendar days</w:t>
            </w:r>
            <w:r>
              <w:rPr>
                <w:b w:val="false"/>
                <w:bCs w:val="false"/>
                <w:sz w:val="20"/>
                <w:szCs w:val="20"/>
              </w:rPr>
              <w:t xml:space="preserve"> from the invoice date.</w:t>
            </w:r>
          </w:p>
        </w:tc>
      </w:tr>
      <w:tr>
        <w:tc>
          <w:tcPr>
            <w:tcW w:type="pct" w:w="50%"/>
            <w:tcMar>
              <w:top w:type="dxa" w:w="80"/>
              <w:left w:type="dxa" w:w="120"/>
              <w:bottom w:type="dxa" w:w="80"/>
              <w:right w:type="dxa" w:w="120"/>
            </w:tcMar>
          </w:tcPr>
          <w:p>
            <w:pPr>
              <w:spacing w:after="60" w:before="60"/>
            </w:pPr>
            <w:r>
              <w:rPr>
                <w:b/>
                <w:bCs/>
                <w:sz w:val="20"/>
                <w:szCs w:val="20"/>
              </w:rPr>
              <w:t xml:space="preserve">Time tracking</w:t>
            </w:r>
          </w:p>
        </w:tc>
        <w:tc>
          <w:tcPr>
            <w:tcW w:type="pct" w:w="50%"/>
            <w:tcMar>
              <w:top w:type="dxa" w:w="80"/>
              <w:left w:type="dxa" w:w="120"/>
              <w:bottom w:type="dxa" w:w="80"/>
              <w:right w:type="dxa" w:w="120"/>
            </w:tcMar>
          </w:tcPr>
          <w:p>
            <w:pPr>
              <w:spacing w:after="60" w:before="60"/>
            </w:pPr>
            <w:r>
              <w:rPr>
                <w:b w:val="false"/>
                <w:bCs w:val="false"/>
                <w:sz w:val="20"/>
                <w:szCs w:val="20"/>
              </w:rPr>
              <w:t xml:space="preserve">The Contractor provides detailed time reports with each invoice, showing hours per team member and a brief description of work performed.</w:t>
            </w:r>
          </w:p>
        </w:tc>
      </w:tr>
      <w:tr>
        <w:tc>
          <w:tcPr>
            <w:tcW w:type="pct" w:w="50%"/>
            <w:tcMar>
              <w:top w:type="dxa" w:w="80"/>
              <w:left w:type="dxa" w:w="120"/>
              <w:bottom w:type="dxa" w:w="80"/>
              <w:right w:type="dxa" w:w="120"/>
            </w:tcMar>
          </w:tcPr>
          <w:p>
            <w:pPr>
              <w:spacing w:after="60" w:before="60"/>
            </w:pPr>
            <w:r>
              <w:rPr>
                <w:b/>
                <w:bCs/>
                <w:sz w:val="20"/>
                <w:szCs w:val="20"/>
              </w:rPr>
              <w:t xml:space="preserve">Payment transfers</w:t>
            </w:r>
          </w:p>
        </w:tc>
        <w:tc>
          <w:tcPr>
            <w:tcW w:type="pct" w:w="50%"/>
            <w:tcMar>
              <w:top w:type="dxa" w:w="80"/>
              <w:left w:type="dxa" w:w="120"/>
              <w:bottom w:type="dxa" w:w="80"/>
              <w:right w:type="dxa" w:w="120"/>
            </w:tcMar>
          </w:tcPr>
          <w:p>
            <w:pPr>
              <w:spacing w:after="60" w:before="60"/>
            </w:pPr>
            <w:r>
              <w:rPr>
                <w:b w:val="false"/>
                <w:bCs w:val="false"/>
                <w:sz w:val="20"/>
                <w:szCs w:val="20"/>
              </w:rPr>
              <w:t xml:space="preserve">To the banking account specified in the invoice. The sending party covers bank charges.</w:t>
            </w:r>
          </w:p>
        </w:tc>
      </w:tr>
      <w:tr>
        <w:tc>
          <w:tcPr>
            <w:tcW w:type="pct" w:w="50%"/>
            <w:tcMar>
              <w:top w:type="dxa" w:w="80"/>
              <w:left w:type="dxa" w:w="120"/>
              <w:bottom w:type="dxa" w:w="80"/>
              <w:right w:type="dxa" w:w="120"/>
            </w:tcMar>
          </w:tcPr>
          <w:p>
            <w:pPr>
              <w:spacing w:after="60" w:before="60"/>
            </w:pPr>
            <w:r>
              <w:rPr>
                <w:b/>
                <w:bCs/>
                <w:sz w:val="20"/>
                <w:szCs w:val="20"/>
              </w:rPr>
              <w:t xml:space="preserve">Term and Termination</w:t>
            </w:r>
          </w:p>
        </w:tc>
        <w:tc>
          <w:tcPr>
            <w:tcW w:type="pct" w:w="50%"/>
            <w:tcMar>
              <w:top w:type="dxa" w:w="80"/>
              <w:left w:type="dxa" w:w="120"/>
              <w:bottom w:type="dxa" w:w="80"/>
              <w:right w:type="dxa" w:w="120"/>
            </w:tcMar>
          </w:tcPr>
          <w:p>
            <w:pPr>
              <w:spacing w:after="60" w:before="60"/>
            </w:pPr>
            <w:r>
              <w:rPr>
                <w:b w:val="false"/>
                <w:bCs w:val="false"/>
                <w:sz w:val="20"/>
                <w:szCs w:val="20"/>
              </w:rPr>
              <w:t xml:space="preserve">At-will termination with </w:t>
            </w:r>
            <w:r>
              <w:rPr>
                <w:b/>
                <w:bCs/>
                <w:sz w:val="20"/>
                <w:szCs w:val="20"/>
              </w:rPr>
              <w:t xml:space="preserve">30 days</w:t>
            </w:r>
            <w:r>
              <w:rPr>
                <w:b w:val="false"/>
                <w:bCs w:val="false"/>
                <w:sz w:val="20"/>
                <w:szCs w:val="20"/>
              </w:rPr>
              <w:t xml:space="preserve"> prior notice.</w:t>
            </w:r>
          </w:p>
        </w:tc>
      </w:tr>
      <w:tr>
        <w:tc>
          <w:tcPr>
            <w:tcW w:type="pct" w:w="50%"/>
            <w:tcMar>
              <w:top w:type="dxa" w:w="80"/>
              <w:left w:type="dxa" w:w="120"/>
              <w:bottom w:type="dxa" w:w="80"/>
              <w:right w:type="dxa" w:w="120"/>
            </w:tcMar>
          </w:tcPr>
          <w:p>
            <w:pPr>
              <w:spacing w:after="60" w:before="60"/>
            </w:pPr>
            <w:r>
              <w:rPr>
                <w:b/>
                <w:bCs/>
                <w:sz w:val="20"/>
                <w:szCs w:val="20"/>
              </w:rPr>
              <w:t xml:space="preserve">Team</w:t>
            </w:r>
          </w:p>
        </w:tc>
        <w:tc>
          <w:tcPr>
            <w:tcW w:type="pct" w:w="50%"/>
            <w:tcMar>
              <w:top w:type="dxa" w:w="80"/>
              <w:left w:type="dxa" w:w="120"/>
              <w:bottom w:type="dxa" w:w="80"/>
              <w:right w:type="dxa" w:w="120"/>
            </w:tcMar>
          </w:tcPr>
          <w:p>
            <w:pPr>
              <w:spacing w:after="60" w:before="60"/>
            </w:pPr>
            <w:r>
              <w:rPr>
                <w:b w:val="false"/>
                <w:bCs w:val="false"/>
                <w:sz w:val="20"/>
                <w:szCs w:val="20"/>
              </w:rPr>
              <w:t xml:space="preserve">The Contractor may engage subcontractors.</w:t>
            </w:r>
          </w:p>
        </w:tc>
      </w:tr>
      <w:tr>
        <w:tc>
          <w:tcPr>
            <w:tcW w:type="pct" w:w="50%"/>
            <w:tcMar>
              <w:top w:type="dxa" w:w="80"/>
              <w:left w:type="dxa" w:w="120"/>
              <w:bottom w:type="dxa" w:w="80"/>
              <w:right w:type="dxa" w:w="120"/>
            </w:tcMar>
          </w:tcPr>
          <w:p>
            <w:pPr>
              <w:spacing w:after="60" w:before="60"/>
            </w:pPr>
            <w:r>
              <w:rPr>
                <w:b/>
                <w:bCs/>
                <w:sz w:val="20"/>
                <w:szCs w:val="20"/>
              </w:rPr>
              <w:t xml:space="preserve">Overtime</w:t>
            </w:r>
          </w:p>
        </w:tc>
        <w:tc>
          <w:tcPr>
            <w:tcW w:type="pct" w:w="50%"/>
            <w:tcMar>
              <w:top w:type="dxa" w:w="80"/>
              <w:left w:type="dxa" w:w="120"/>
              <w:bottom w:type="dxa" w:w="80"/>
              <w:right w:type="dxa" w:w="120"/>
            </w:tcMar>
          </w:tcPr>
          <w:p>
            <w:pPr>
              <w:spacing w:after="60" w:before="60"/>
            </w:pPr>
            <w:r>
              <w:rPr>
                <w:b w:val="false"/>
                <w:bCs w:val="false"/>
                <w:sz w:val="20"/>
                <w:szCs w:val="20"/>
              </w:rPr>
              <w:t xml:space="preserve">Work beyond 40 hours/week per team member requires prior written approval. Overtime rate = </w:t>
            </w:r>
            <w:r>
              <w:rPr>
                <w:b/>
                <w:bCs/>
                <w:sz w:val="20"/>
                <w:szCs w:val="20"/>
              </w:rPr>
              <w:t xml:space="preserve">150%</w:t>
            </w:r>
            <w:r>
              <w:rPr>
                <w:b w:val="false"/>
                <w:bCs w:val="false"/>
                <w:sz w:val="20"/>
                <w:szCs w:val="20"/>
              </w:rPr>
              <w:t xml:space="preserve"> of the standard hourly rate.</w:t>
            </w:r>
          </w:p>
        </w:tc>
      </w:tr>
      <w:tr>
        <w:tc>
          <w:tcPr>
            <w:tcW w:type="pct" w:w="50%"/>
            <w:tcMar>
              <w:top w:type="dxa" w:w="80"/>
              <w:left w:type="dxa" w:w="120"/>
              <w:bottom w:type="dxa" w:w="80"/>
              <w:right w:type="dxa" w:w="120"/>
            </w:tcMar>
          </w:tcPr>
          <w:p>
            <w:pPr>
              <w:spacing w:after="60" w:before="60"/>
            </w:pPr>
            <w:r>
              <w:rPr>
                <w:b/>
                <w:bCs/>
                <w:sz w:val="20"/>
                <w:szCs w:val="20"/>
              </w:rPr>
              <w:t xml:space="preserve">Rate increase</w:t>
            </w:r>
          </w:p>
        </w:tc>
        <w:tc>
          <w:tcPr>
            <w:tcW w:type="pct" w:w="50%"/>
            <w:tcMar>
              <w:top w:type="dxa" w:w="80"/>
              <w:left w:type="dxa" w:w="120"/>
              <w:bottom w:type="dxa" w:w="80"/>
              <w:right w:type="dxa" w:w="120"/>
            </w:tcMar>
          </w:tcPr>
          <w:p>
            <w:pPr>
              <w:spacing w:after="60" w:before="60"/>
            </w:pPr>
            <w:r>
              <w:rPr>
                <w:b w:val="false"/>
                <w:bCs w:val="false"/>
                <w:sz w:val="20"/>
                <w:szCs w:val="20"/>
              </w:rPr>
              <w:t xml:space="preserve">No more than once every 12 months. Not more than </w:t>
            </w:r>
            <w:r>
              <w:rPr>
                <w:b/>
                <w:bCs/>
                <w:sz w:val="20"/>
                <w:szCs w:val="20"/>
              </w:rPr>
              <w:t xml:space="preserve">12%</w:t>
            </w:r>
            <w:r>
              <w:rPr>
                <w:b w:val="false"/>
                <w:bCs w:val="false"/>
                <w:sz w:val="20"/>
                <w:szCs w:val="20"/>
              </w:rPr>
              <w:t xml:space="preserve"> annually, with </w:t>
            </w:r>
            <w:r>
              <w:rPr>
                <w:b/>
                <w:bCs/>
                <w:sz w:val="20"/>
                <w:szCs w:val="20"/>
              </w:rPr>
              <w:t xml:space="preserve">60 days</w:t>
            </w:r>
            <w:r>
              <w:rPr>
                <w:b w:val="false"/>
                <w:bCs w:val="false"/>
                <w:sz w:val="20"/>
                <w:szCs w:val="20"/>
              </w:rPr>
              <w:t xml:space="preserve"> prior written notice.</w:t>
            </w:r>
          </w:p>
        </w:tc>
      </w:tr>
    </w:tbl>
    <w:p>
      <w:pPr>
        <w:spacing w:after="160" w:before="0"/>
      </w:pPr>
      <w:r>
        <w:t xml:space="preserve"/>
      </w:r>
    </w:p>
    <w:p>
      <w:pPr>
        <w:pStyle w:val="Heading2"/>
        <w:keepNext/>
        <w:spacing w:after="180" w:before="360"/>
      </w:pPr>
      <w:r>
        <w:t xml:space="preserve">2. Scope of Services</w:t>
      </w:r>
    </w:p>
    <w:p>
      <w:pPr>
        <w:spacing w:after="180"/>
        <w:jc w:val="both"/>
      </w:pPr>
      <w:r>
        <w:t xml:space="preserve">The Contractor shall provide the Services as described in Attachment A (Rate Sheet) and any subsequent Statements of Work agreed in writing. The Customer directs the work through a designated point of contact.</w:t>
      </w:r>
    </w:p>
    <w:p>
      <w:pPr>
        <w:spacing w:after="180"/>
        <w:jc w:val="both"/>
      </w:pPr>
      <w:r>
        <w:t xml:space="preserve">Services are provided on an </w:t>
      </w:r>
      <w:r>
        <w:rPr>
          <w:b/>
          <w:bCs/>
        </w:rPr>
        <w:t xml:space="preserve">effort basis</w:t>
      </w:r>
      <w:r>
        <w:t xml:space="preserve"> — the Contractor commits to providing qualified personnel and reasonable diligence, but does not guarantee specific outcomes or deliverables unless separately agreed in a Statement of Work.</w:t>
      </w:r>
    </w:p>
    <w:p>
      <w:pPr>
        <w:pStyle w:val="Heading2"/>
        <w:keepNext/>
        <w:spacing w:after="180" w:before="360"/>
      </w:pPr>
      <w:r>
        <w:t xml:space="preserve">3. Payments</w:t>
      </w:r>
    </w:p>
    <w:p>
      <w:pPr>
        <w:spacing w:after="180"/>
        <w:jc w:val="both"/>
      </w:pPr>
      <w:r>
        <w:rPr>
          <w:b/>
          <w:bCs/>
        </w:rPr>
        <w:t xml:space="preserve">Reimbursable Expenses.</w:t>
      </w:r>
      <w:r>
        <w:t xml:space="preserve"> The Customer shall reimburse the Contractor for reasonable, pre-approved expenses incurred in connection with the Services. Expenses exceeding </w:t>
      </w:r>
      <w:r>
        <w:rPr>
          <w:b/>
          <w:bCs/>
        </w:rPr>
        <w:t xml:space="preserve">€500</w:t>
      </w:r>
      <w:r>
        <w:t xml:space="preserve"> per item require the Customer's prior written approval.</w:t>
      </w:r>
    </w:p>
    <w:p>
      <w:pPr>
        <w:spacing w:after="180"/>
        <w:jc w:val="both"/>
      </w:pPr>
      <w:r>
        <w:rPr>
          <w:b/>
          <w:bCs/>
        </w:rPr>
        <w:t xml:space="preserve">Categories.</w:t>
      </w:r>
      <w:r>
        <w:t xml:space="preserve"> Typical reimbursable expenses include:</w:t>
      </w:r>
    </w:p>
    <w:p>
      <w:pPr>
        <w:pStyle w:val="ListParagraph"/>
        <w:numPr>
          <w:ilvl w:val="0"/>
          <w:numId w:val="1"/>
        </w:numPr>
        <w:spacing w:after="60"/>
      </w:pPr>
      <w:r>
        <w:t xml:space="preserve">Travel and accommodation (pre-approved business trips only)</w:t>
      </w:r>
    </w:p>
    <w:p>
      <w:pPr>
        <w:pStyle w:val="ListParagraph"/>
        <w:numPr>
          <w:ilvl w:val="0"/>
          <w:numId w:val="1"/>
        </w:numPr>
        <w:spacing w:after="60"/>
      </w:pPr>
      <w:r>
        <w:t xml:space="preserve">Software licenses and cloud infrastructure costs incurred</w:t>
      </w:r>
    </w:p>
    <w:p>
      <w:pPr>
        <w:spacing w:after="180"/>
        <w:jc w:val="both"/>
      </w:pPr>
      <w:r>
        <w:t xml:space="preserve">specifically for the Customer's project</w:t>
      </w:r>
    </w:p>
    <w:p>
      <w:pPr>
        <w:pStyle w:val="ListParagraph"/>
        <w:numPr>
          <w:ilvl w:val="0"/>
          <w:numId w:val="1"/>
        </w:numPr>
        <w:spacing w:after="60"/>
      </w:pPr>
      <w:r>
        <w:t xml:space="preserve">Hardware purchased at the Customer's request</w:t>
      </w:r>
    </w:p>
    <w:p>
      <w:pPr>
        <w:pStyle w:val="ListParagraph"/>
        <w:numPr>
          <w:ilvl w:val="0"/>
          <w:numId w:val="1"/>
        </w:numPr>
        <w:spacing w:after="60"/>
      </w:pPr>
      <w:r>
        <w:t xml:space="preserve">Third-party services engaged with the Customer's approval</w:t>
      </w:r>
    </w:p>
    <w:p>
      <w:pPr>
        <w:spacing w:after="180"/>
        <w:jc w:val="both"/>
      </w:pPr>
      <w:r>
        <w:rPr>
          <w:b/>
          <w:bCs/>
        </w:rPr>
        <w:t xml:space="preserve">Documentation.</w:t>
      </w:r>
      <w:r>
        <w:t xml:space="preserve"> The Contractor shall submit expense reports monthly, accompanied by original receipts or equivalent documentation. Expense reports are due within </w:t>
      </w:r>
      <w:r>
        <w:rPr>
          <w:b/>
          <w:bCs/>
        </w:rPr>
        <w:t xml:space="preserve">ten (10) business days</w:t>
      </w:r>
      <w:r>
        <w:t xml:space="preserve"> of the end of each calendar month.</w:t>
      </w:r>
    </w:p>
    <w:p>
      <w:pPr>
        <w:spacing w:after="180"/>
        <w:jc w:val="both"/>
      </w:pPr>
      <w:r>
        <w:rPr>
          <w:b/>
          <w:bCs/>
        </w:rPr>
        <w:t xml:space="preserve">Payment.</w:t>
      </w:r>
      <w:r>
        <w:t xml:space="preserve"> Approved expenses are included in the next regular invoice and are subject to the same payment terms as service fees.</w:t>
      </w:r>
    </w:p>
    <w:p>
      <w:pPr>
        <w:spacing w:after="180"/>
        <w:jc w:val="both"/>
      </w:pPr>
      <w:r>
        <w:rPr>
          <w:b/>
          <w:bCs/>
        </w:rPr>
        <w:t xml:space="preserve">Non-Reimbursable.</w:t>
      </w:r>
      <w:r>
        <w:t xml:space="preserve"> The following are not reimbursable unless explicitly agreed in writing:</w:t>
      </w:r>
    </w:p>
    <w:p>
      <w:pPr>
        <w:pStyle w:val="ListParagraph"/>
        <w:numPr>
          <w:ilvl w:val="0"/>
          <w:numId w:val="1"/>
        </w:numPr>
        <w:spacing w:after="60"/>
      </w:pPr>
      <w:r>
        <w:t xml:space="preserve">General overhead (office space, utilities, internet)</w:t>
      </w:r>
    </w:p>
    <w:p>
      <w:pPr>
        <w:pStyle w:val="ListParagraph"/>
        <w:numPr>
          <w:ilvl w:val="0"/>
          <w:numId w:val="1"/>
        </w:numPr>
        <w:spacing w:after="60"/>
      </w:pPr>
      <w:r>
        <w:t xml:space="preserve">Internal training and professional development</w:t>
      </w:r>
    </w:p>
    <w:p>
      <w:pPr>
        <w:pStyle w:val="ListParagraph"/>
        <w:numPr>
          <w:ilvl w:val="0"/>
          <w:numId w:val="1"/>
        </w:numPr>
        <w:spacing w:after="60"/>
      </w:pPr>
      <w:r>
        <w:t xml:space="preserve">Equipment used across multiple clients</w:t>
      </w:r>
    </w:p>
    <w:p>
      <w:pPr>
        <w:pStyle w:val="ListParagraph"/>
        <w:numPr>
          <w:ilvl w:val="0"/>
          <w:numId w:val="1"/>
        </w:numPr>
        <w:spacing w:after="60"/>
      </w:pPr>
      <w:r>
        <w:t xml:space="preserve">Penalties, fines, or charges resulting from the Contractor's</w:t>
      </w:r>
    </w:p>
    <w:p>
      <w:pPr>
        <w:spacing w:after="180"/>
        <w:jc w:val="both"/>
      </w:pPr>
      <w:r>
        <w:t xml:space="preserve">negligence</w:t>
      </w:r>
    </w:p>
    <w:p>
      <w:pPr>
        <w:pStyle w:val="Heading2"/>
        <w:keepNext/>
        <w:spacing w:after="180" w:before="360"/>
      </w:pPr>
      <w:r>
        <w:t xml:space="preserve">How this clause works in practice</w:t>
      </w:r>
    </w:p>
    <w:p>
      <w:pPr>
        <w:spacing w:after="180"/>
        <w:jc w:val="both"/>
      </w:pPr>
      <w:r>
        <w:t xml:space="preserve">Expense reimbursement is clean in theory but messy in execution. The €500 pre-approval threshold is calibrated to catch significant costs (flights, licenses) without creating friction on small ones (a €30 domain registration).</w:t>
      </w:r>
    </w:p>
    <w:p>
      <w:pPr>
        <w:spacing w:after="180"/>
        <w:jc w:val="both"/>
      </w:pPr>
      <w:r>
        <w:t xml:space="preserve">Monthly reconciliation prevents the "surprise invoice six months later" problem — expenses are current and auditable.</w:t>
      </w:r>
    </w:p>
    <w:p>
      <w:pPr>
        <w:pStyle w:val="Heading2"/>
        <w:keepNext/>
        <w:spacing w:after="180" w:before="360"/>
      </w:pPr>
      <w:r>
        <w:t xml:space="preserve">Where this clause appears</w:t>
      </w:r>
    </w:p>
    <w:p>
      <w:pPr>
        <w:pStyle w:val="ListParagraph"/>
        <w:numPr>
          <w:ilvl w:val="0"/>
          <w:numId w:val="1"/>
        </w:numPr>
        <w:spacing w:after="60"/>
      </w:pPr>
      <w:r>
        <w:t xml:space="preserve">Time &amp; Materials — the primary consumer</w:t>
      </w:r>
    </w:p>
    <w:p>
      <w:pPr>
        <w:pStyle w:val="ListParagraph"/>
        <w:numPr>
          <w:ilvl w:val="0"/>
          <w:numId w:val="1"/>
        </w:numPr>
        <w:spacing w:after="60"/>
      </w:pPr>
      <w:r>
        <w:t xml:space="preserve">Not used in fixed-price (expenses are baked into the project fee)</w:t>
      </w:r>
    </w:p>
    <w:p>
      <w:pPr>
        <w:pStyle w:val="ListParagraph"/>
        <w:numPr>
          <w:ilvl w:val="0"/>
          <w:numId w:val="1"/>
        </w:numPr>
        <w:spacing w:after="60"/>
      </w:pPr>
      <w:r>
        <w:t xml:space="preserve">Not used in dedicated team (expenses are part of the retainer)</w:t>
      </w:r>
    </w:p>
    <w:p>
      <w:pPr>
        <w:spacing w:after="180"/>
        <w:jc w:val="both"/>
      </w:pPr>
      <w:r>
        <w:rPr>
          <w:b/>
          <w:bCs/>
        </w:rPr>
        <w:t xml:space="preserve">Payment Dispute.</w:t>
      </w:r>
      <w:r>
        <w:t xml:space="preserve"> If any amount claimed as payable is disputed in good faith, the </w:t>
      </w:r>
      <w:r>
        <w:rPr>
          <w:b/>
          <w:bCs/>
        </w:rPr>
        <w:t xml:space="preserve">Customer</w:t>
      </w:r>
      <w:r>
        <w:t xml:space="preserve"> shall pay the undisputed portion and give a </w:t>
      </w:r>
      <w:r>
        <w:rPr>
          <w:b/>
          <w:bCs/>
        </w:rPr>
        <w:t xml:space="preserve">5 business days</w:t>
      </w:r>
      <w:r>
        <w:t xml:space="preserve"> notice specifying the basis of the dispute in reasonable detail.</w:t>
      </w:r>
    </w:p>
    <w:p>
      <w:pPr>
        <w:spacing w:after="180"/>
        <w:jc w:val="both"/>
      </w:pPr>
      <w:r>
        <w:t xml:space="preserve">Payments that are undisputed by the Customer within 5 business days of receipt are considered accepted.</w:t>
      </w:r>
    </w:p>
    <w:p>
      <w:pPr>
        <w:spacing w:after="180"/>
        <w:jc w:val="both"/>
      </w:pPr>
      <w:r>
        <w:rPr>
          <w:b/>
          <w:bCs/>
        </w:rPr>
        <w:t xml:space="preserve">Late Payments.</w:t>
      </w:r>
      <w:r>
        <w:t xml:space="preserve"> If the Customer does not pay invoices when due, interest on the unpaid amounts of </w:t>
      </w:r>
      <w:r>
        <w:rPr>
          <w:b/>
          <w:bCs/>
        </w:rPr>
        <w:t xml:space="preserve">0.5% per calendar day</w:t>
      </w:r>
      <w:r>
        <w:t xml:space="preserve"> will be charged starting the day after the payment becomes due.</w:t>
      </w:r>
    </w:p>
    <w:p>
      <w:pPr>
        <w:pStyle w:val="Heading2"/>
        <w:keepNext/>
        <w:spacing w:after="180" w:before="360"/>
      </w:pPr>
      <w:r>
        <w:t xml:space="preserve">How this clause works in practice</w:t>
      </w:r>
    </w:p>
    <w:p>
      <w:pPr>
        <w:spacing w:after="180"/>
        <w:jc w:val="both"/>
      </w:pPr>
      <w:r>
        <w:t xml:space="preserve">Defensive mechanism for two reasons:</w:t>
      </w:r>
    </w:p>
    <w:p>
      <w:pPr>
        <w:pStyle w:val="ListParagraph"/>
        <w:numPr>
          <w:ilvl w:val="0"/>
          <w:numId w:val="2"/>
        </w:numPr>
        <w:spacing w:after="60"/>
      </w:pPr>
      <w:r>
        <w:rPr>
          <w:b/>
          <w:bCs/>
        </w:rPr>
        <w:t xml:space="preserve">Psychological pressure.</w:t>
      </w:r>
      <w:r>
        <w:t xml:space="preserve"> 0.5%/day ≈ 180% annualized. Client</w:t>
      </w:r>
    </w:p>
    <w:p>
      <w:pPr>
        <w:spacing w:after="180"/>
        <w:jc w:val="both"/>
      </w:pPr>
      <w:r>
        <w:t xml:space="preserve">finance teams notice this number and bump our invoices up the payment queue.</w:t>
      </w:r>
    </w:p>
    <w:p>
      <w:pPr>
        <w:pStyle w:val="ListParagraph"/>
        <w:numPr>
          <w:ilvl w:val="0"/>
          <w:numId w:val="2"/>
        </w:numPr>
        <w:spacing w:after="60"/>
      </w:pPr>
      <w:r>
        <w:rPr>
          <w:b/>
          <w:bCs/>
        </w:rPr>
        <w:t xml:space="preserve">Legal footing.</w:t>
      </w:r>
      <w:r>
        <w:t xml:space="preserve"> If collection escalates to court, we have</w:t>
      </w:r>
    </w:p>
    <w:p>
      <w:pPr>
        <w:spacing w:after="180"/>
        <w:jc w:val="both"/>
      </w:pPr>
      <w:r>
        <w:t xml:space="preserve">a clean contractual basis for including interest in the claim, without renegotiation.</w:t>
      </w:r>
    </w:p>
    <w:p>
      <w:pPr>
        <w:pStyle w:val="Heading2"/>
        <w:keepNext/>
        <w:spacing w:after="180" w:before="360"/>
      </w:pPr>
      <w:r>
        <w:t xml:space="preserve">4. Deliverables and Intellectual Property</w:t>
      </w:r>
    </w:p>
    <w:p>
      <w:pPr>
        <w:spacing w:after="180"/>
        <w:jc w:val="both"/>
      </w:pPr>
      <w:r>
        <w:rPr>
          <w:b/>
          <w:bCs/>
        </w:rPr>
        <w:t xml:space="preserve">Final Works.</w:t>
      </w:r>
      <w:r>
        <w:t xml:space="preserve"> The Contractor transfers to the Customer all intellectual property rights (IP rights) in all materials developed for or provided to the Customer by the Contractor through the performance of Services (Deliverables), </w:t>
      </w:r>
      <w:r>
        <w:rPr>
          <w:b/>
          <w:bCs/>
        </w:rPr>
        <w:t xml:space="preserve">as necessary payments are made</w:t>
      </w:r>
      <w:r>
        <w:t xml:space="preserve"> during the agreement. If the agreement is terminated, the Contractor shall transfer all finished and unfinished Deliverables previously paid for.</w:t>
      </w:r>
    </w:p>
    <w:p>
      <w:pPr>
        <w:spacing w:after="180"/>
        <w:jc w:val="both"/>
      </w:pPr>
      <w:r>
        <w:rPr>
          <w:b/>
          <w:bCs/>
        </w:rPr>
        <w:t xml:space="preserve">No copyleft licenses.</w:t>
      </w:r>
      <w:r>
        <w:t xml:space="preserve"> The Contractor warrants that it has not included or used, and will not include or use, any Open-Source Software or any libraries or code licensed under the General Public License, AGPL, or any similar copyleft license in the Software, where such license would require the Customer to license the Software onwards or otherwise make it available to others, without the Customer's prior written consent.</w:t>
      </w:r>
    </w:p>
    <w:p>
      <w:pPr>
        <w:pStyle w:val="Heading2"/>
        <w:keepNext/>
        <w:spacing w:after="180" w:before="360"/>
      </w:pPr>
      <w:r>
        <w:t xml:space="preserve">How this works in practice</w:t>
      </w:r>
    </w:p>
    <w:p>
      <w:pPr>
        <w:spacing w:after="180"/>
        <w:jc w:val="both"/>
      </w:pPr>
      <w:r>
        <w:t xml:space="preserve">Three principled differences from the subcontract version:</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Aspect</w:t>
            </w:r>
          </w:p>
        </w:tc>
        <w:tc>
          <w:tcPr>
            <w:tcW w:type="pct" w:w="50%"/>
            <w:shd w:fill="EEE9D4" w:val="clear"/>
            <w:tcMar>
              <w:top w:type="dxa" w:w="80"/>
              <w:left w:type="dxa" w:w="120"/>
              <w:bottom w:type="dxa" w:w="80"/>
              <w:right w:type="dxa" w:w="120"/>
            </w:tcMar>
          </w:tcPr>
          <w:p>
            <w:pPr>
              <w:spacing w:after="60" w:before="60"/>
            </w:pPr>
            <w:r>
              <w:rPr>
                <w:b/>
                <w:bCs/>
                <w:sz w:val="20"/>
                <w:szCs w:val="20"/>
              </w:rPr>
              <w:t xml:space="preserve">Subcontract (Dev)</w:t>
            </w:r>
          </w:p>
        </w:tc>
        <w:tc>
          <w:tcPr>
            <w:tcW w:type="pct" w:w="50%"/>
            <w:shd w:fill="EEE9D4" w:val="clear"/>
            <w:tcMar>
              <w:top w:type="dxa" w:w="80"/>
              <w:left w:type="dxa" w:w="120"/>
              <w:bottom w:type="dxa" w:w="80"/>
              <w:right w:type="dxa" w:w="120"/>
            </w:tcMar>
          </w:tcPr>
          <w:p>
            <w:pPr>
              <w:spacing w:after="60" w:before="60"/>
            </w:pPr>
            <w:r>
              <w:rPr>
                <w:b/>
                <w:bCs/>
                <w:sz w:val="20"/>
                <w:szCs w:val="20"/>
              </w:rPr>
              <w:t xml:space="preserve">Services Agreement</w:t>
            </w:r>
          </w:p>
        </w:tc>
      </w:tr>
      <w:tr>
        <w:tc>
          <w:tcPr>
            <w:tcW w:type="pct" w:w="50%"/>
            <w:tcMar>
              <w:top w:type="dxa" w:w="80"/>
              <w:left w:type="dxa" w:w="120"/>
              <w:bottom w:type="dxa" w:w="80"/>
              <w:right w:type="dxa" w:w="120"/>
            </w:tcMar>
          </w:tcPr>
          <w:p>
            <w:pPr>
              <w:spacing w:after="60" w:before="60"/>
            </w:pPr>
            <w:r>
              <w:rPr>
                <w:b w:val="false"/>
                <w:bCs w:val="false"/>
                <w:sz w:val="20"/>
                <w:szCs w:val="20"/>
              </w:rPr>
              <w:t xml:space="preserve">Direction</w:t>
            </w:r>
          </w:p>
        </w:tc>
        <w:tc>
          <w:tcPr>
            <w:tcW w:type="pct" w:w="50%"/>
            <w:tcMar>
              <w:top w:type="dxa" w:w="80"/>
              <w:left w:type="dxa" w:w="120"/>
              <w:bottom w:type="dxa" w:w="80"/>
              <w:right w:type="dxa" w:w="120"/>
            </w:tcMar>
          </w:tcPr>
          <w:p>
            <w:pPr>
              <w:spacing w:after="60" w:before="60"/>
            </w:pPr>
            <w:r>
              <w:rPr>
                <w:b w:val="false"/>
                <w:bCs w:val="false"/>
                <w:sz w:val="20"/>
                <w:szCs w:val="20"/>
              </w:rPr>
              <w:t xml:space="preserve">Subcontractor → Contractor</w:t>
            </w:r>
          </w:p>
        </w:tc>
        <w:tc>
          <w:tcPr>
            <w:tcW w:type="pct" w:w="50%"/>
            <w:tcMar>
              <w:top w:type="dxa" w:w="80"/>
              <w:left w:type="dxa" w:w="120"/>
              <w:bottom w:type="dxa" w:w="80"/>
              <w:right w:type="dxa" w:w="120"/>
            </w:tcMar>
          </w:tcPr>
          <w:p>
            <w:pPr>
              <w:spacing w:after="60" w:before="60"/>
            </w:pPr>
            <w:r>
              <w:rPr>
                <w:b w:val="false"/>
                <w:bCs w:val="false"/>
                <w:sz w:val="20"/>
                <w:szCs w:val="20"/>
              </w:rPr>
              <w:t xml:space="preserve">Contractor → Customer</w:t>
            </w:r>
          </w:p>
        </w:tc>
      </w:tr>
      <w:tr>
        <w:tc>
          <w:tcPr>
            <w:tcW w:type="pct" w:w="50%"/>
            <w:tcMar>
              <w:top w:type="dxa" w:w="80"/>
              <w:left w:type="dxa" w:w="120"/>
              <w:bottom w:type="dxa" w:w="80"/>
              <w:right w:type="dxa" w:w="120"/>
            </w:tcMar>
          </w:tcPr>
          <w:p>
            <w:pPr>
              <w:spacing w:after="60" w:before="60"/>
            </w:pPr>
            <w:r>
              <w:rPr>
                <w:b w:val="false"/>
                <w:bCs w:val="false"/>
                <w:sz w:val="20"/>
                <w:szCs w:val="20"/>
              </w:rPr>
              <w:t xml:space="preserve">Transfer timing</w:t>
            </w:r>
          </w:p>
        </w:tc>
        <w:tc>
          <w:tcPr>
            <w:tcW w:type="pct" w:w="50%"/>
            <w:tcMar>
              <w:top w:type="dxa" w:w="80"/>
              <w:left w:type="dxa" w:w="120"/>
              <w:bottom w:type="dxa" w:w="80"/>
              <w:right w:type="dxa" w:w="120"/>
            </w:tcMar>
          </w:tcPr>
          <w:p>
            <w:pPr>
              <w:spacing w:after="60" w:before="60"/>
            </w:pPr>
            <w:r>
              <w:rPr>
                <w:b w:val="false"/>
                <w:bCs w:val="false"/>
                <w:sz w:val="20"/>
                <w:szCs w:val="20"/>
              </w:rPr>
              <w:t xml:space="preserve">Exclusively after full payment of all fees</w:t>
            </w:r>
          </w:p>
        </w:tc>
        <w:tc>
          <w:tcPr>
            <w:tcW w:type="pct" w:w="50%"/>
            <w:tcMar>
              <w:top w:type="dxa" w:w="80"/>
              <w:left w:type="dxa" w:w="120"/>
              <w:bottom w:type="dxa" w:w="80"/>
              <w:right w:type="dxa" w:w="120"/>
            </w:tcMar>
          </w:tcPr>
          <w:p>
            <w:pPr>
              <w:spacing w:after="60" w:before="60"/>
            </w:pPr>
            <w:r>
              <w:rPr>
                <w:b w:val="false"/>
                <w:bCs w:val="false"/>
                <w:sz w:val="20"/>
                <w:szCs w:val="20"/>
              </w:rPr>
              <w:t xml:space="preserve">Rolling, as payments are made</w:t>
            </w:r>
          </w:p>
        </w:tc>
      </w:tr>
      <w:tr>
        <w:tc>
          <w:tcPr>
            <w:tcW w:type="pct" w:w="50%"/>
            <w:tcMar>
              <w:top w:type="dxa" w:w="80"/>
              <w:left w:type="dxa" w:w="120"/>
              <w:bottom w:type="dxa" w:w="80"/>
              <w:right w:type="dxa" w:w="120"/>
            </w:tcMar>
          </w:tcPr>
          <w:p>
            <w:pPr>
              <w:spacing w:after="60" w:before="60"/>
            </w:pPr>
            <w:r>
              <w:rPr>
                <w:b w:val="false"/>
                <w:bCs w:val="false"/>
                <w:sz w:val="20"/>
                <w:szCs w:val="20"/>
              </w:rPr>
              <w:t xml:space="preserve">On termination</w:t>
            </w:r>
          </w:p>
        </w:tc>
        <w:tc>
          <w:tcPr>
            <w:tcW w:type="pct" w:w="50%"/>
            <w:tcMar>
              <w:top w:type="dxa" w:w="80"/>
              <w:left w:type="dxa" w:w="120"/>
              <w:bottom w:type="dxa" w:w="80"/>
              <w:right w:type="dxa" w:w="120"/>
            </w:tcMar>
          </w:tcPr>
          <w:p>
            <w:pPr>
              <w:spacing w:after="60" w:before="60"/>
            </w:pPr>
            <w:r>
              <w:rPr>
                <w:b w:val="false"/>
                <w:bCs w:val="false"/>
                <w:sz w:val="20"/>
                <w:szCs w:val="20"/>
              </w:rPr>
              <w:t xml:space="preserve">—</w:t>
            </w:r>
          </w:p>
        </w:tc>
        <w:tc>
          <w:tcPr>
            <w:tcW w:type="pct" w:w="50%"/>
            <w:tcMar>
              <w:top w:type="dxa" w:w="80"/>
              <w:left w:type="dxa" w:w="120"/>
              <w:bottom w:type="dxa" w:w="80"/>
              <w:right w:type="dxa" w:w="120"/>
            </w:tcMar>
          </w:tcPr>
          <w:p>
            <w:pPr>
              <w:spacing w:after="60" w:before="60"/>
            </w:pPr>
            <w:r>
              <w:rPr>
                <w:b w:val="false"/>
                <w:bCs w:val="false"/>
                <w:sz w:val="20"/>
                <w:szCs w:val="20"/>
              </w:rPr>
              <w:t xml:space="preserve">We transfer all paid-for work, including unfinished</w:t>
            </w:r>
          </w:p>
        </w:tc>
      </w:tr>
    </w:tbl>
    <w:p>
      <w:pPr>
        <w:spacing w:after="160" w:before="0"/>
      </w:pPr>
      <w:r>
        <w:t xml:space="preserve"/>
      </w:r>
    </w:p>
    <w:p>
      <w:pPr>
        <w:spacing w:after="180"/>
        <w:jc w:val="both"/>
      </w:pPr>
      <w:r>
        <w:rPr>
          <w:b/>
          <w:bCs/>
        </w:rPr>
        <w:t xml:space="preserve">Rolling IP transfer</w:t>
      </w:r>
      <w:r>
        <w:t xml:space="preserve"> is the important change. The client gets rights </w:t>
      </w:r>
      <w:r>
        <w:rPr>
          <w:b/>
          <w:bCs/>
        </w:rPr>
        <w:t xml:space="preserve">progressively as they pay</w:t>
      </w:r>
      <w:r>
        <w:t xml:space="preserve">, not "all or nothing after the last invoice." This protects the client if we stop working mid- project for any reason — they retain rights to what they paid for and can continue development with another contractor.</w:t>
      </w:r>
    </w:p>
    <w:p>
      <w:pPr>
        <w:pStyle w:val="Heading2"/>
        <w:keepNext/>
        <w:spacing w:after="180" w:before="360"/>
      </w:pPr>
      <w:r>
        <w:t xml:space="preserve">5. Term and Termination</w:t>
      </w:r>
    </w:p>
    <w:p>
      <w:pPr>
        <w:spacing w:after="180"/>
        <w:jc w:val="both"/>
      </w:pPr>
      <w:r>
        <w:rPr>
          <w:b/>
          <w:bCs/>
        </w:rPr>
        <w:t xml:space="preserve">Term.</w:t>
      </w:r>
      <w:r>
        <w:t xml:space="preserve"> This agreement takes effect on the Start date and continues until terminated by either party in accordance with the terms below.</w:t>
      </w:r>
    </w:p>
    <w:p>
      <w:pPr>
        <w:spacing w:after="180"/>
        <w:jc w:val="both"/>
      </w:pPr>
      <w:r>
        <w:rPr>
          <w:b/>
          <w:bCs/>
        </w:rPr>
        <w:t xml:space="preserve">At-will termination.</w:t>
      </w:r>
      <w:r>
        <w:t xml:space="preserve"> Either party may terminate this agreement at any time, without cause, by giving the other party </w:t>
      </w:r>
      <w:r>
        <w:rPr>
          <w:b/>
          <w:bCs/>
        </w:rPr>
        <w:t xml:space="preserve">30 calendar days</w:t>
      </w:r>
      <w:r>
        <w:t xml:space="preserve"> prior written notice.</w:t>
      </w:r>
    </w:p>
    <w:p>
      <w:pPr>
        <w:spacing w:after="180"/>
        <w:jc w:val="both"/>
      </w:pPr>
      <w:r>
        <w:rPr>
          <w:b/>
          <w:bCs/>
        </w:rPr>
        <w:t xml:space="preserve">Shortened notice.</w:t>
      </w:r>
      <w:r>
        <w:t xml:space="preserve"> After the initial 30-day notice period, the parties may move to </w:t>
      </w:r>
      <w:r>
        <w:rPr>
          <w:b/>
          <w:bCs/>
        </w:rPr>
        <w:t xml:space="preserve">14-day</w:t>
      </w:r>
      <w:r>
        <w:t xml:space="preserve"> notice for any further amendments or terminations within the scope of this agreement.</w:t>
      </w:r>
    </w:p>
    <w:p>
      <w:pPr>
        <w:pStyle w:val="Heading2"/>
        <w:keepNext/>
        <w:spacing w:after="180" w:before="360"/>
      </w:pPr>
      <w:r>
        <w:t xml:space="preserve">6. Limitation of Liability and Indemnification</w:t>
      </w:r>
    </w:p>
    <w:p>
      <w:pPr>
        <w:spacing w:after="180"/>
        <w:jc w:val="both"/>
      </w:pPr>
      <w:r>
        <w:rPr>
          <w:b/>
          <w:bCs/>
        </w:rPr>
        <w:t xml:space="preserve">Mutual Indemnification.</w:t>
      </w:r>
      <w:r>
        <w:t xml:space="preserve"> Each party (as an indemnifying party) shall indemnify the other (as an indemnified party) against all losses arising out of:</w:t>
      </w:r>
    </w:p>
    <w:p>
      <w:pPr>
        <w:pStyle w:val="ListParagraph"/>
        <w:numPr>
          <w:ilvl w:val="0"/>
          <w:numId w:val="1"/>
        </w:numPr>
        <w:spacing w:after="60"/>
      </w:pPr>
      <w:r>
        <w:t xml:space="preserve">any proceeding brought by either a third party or an</w:t>
      </w:r>
    </w:p>
    <w:p>
      <w:pPr>
        <w:spacing w:after="180"/>
        <w:jc w:val="both"/>
      </w:pPr>
      <w:r>
        <w:t xml:space="preserve">indemnified party; and</w:t>
      </w:r>
    </w:p>
    <w:p>
      <w:pPr>
        <w:pStyle w:val="ListParagraph"/>
        <w:numPr>
          <w:ilvl w:val="0"/>
          <w:numId w:val="1"/>
        </w:numPr>
        <w:spacing w:after="60"/>
      </w:pPr>
      <w:r>
        <w:t xml:space="preserve">the indemnifying party's wilful misconduct or gross</w:t>
      </w:r>
    </w:p>
    <w:p>
      <w:pPr>
        <w:spacing w:after="180"/>
        <w:jc w:val="both"/>
      </w:pPr>
      <w:r>
        <w:t xml:space="preserve">negligence.</w:t>
      </w:r>
    </w:p>
    <w:p>
      <w:pPr>
        <w:spacing w:after="180"/>
        <w:jc w:val="both"/>
      </w:pPr>
      <w:r>
        <w:rPr>
          <w:b/>
          <w:bCs/>
        </w:rPr>
        <w:t xml:space="preserve">Mutual Limit on Liability.</w:t>
      </w:r>
      <w:r>
        <w:t xml:space="preserve"> Neither party shall be liable for breach-of-contract damages suffered by the other party that are remote or that could not have reasonably been foreseen on entry into this agreement.</w:t>
      </w:r>
    </w:p>
    <w:p>
      <w:pPr>
        <w:spacing w:after="180"/>
        <w:jc w:val="both"/>
      </w:pPr>
      <w:r>
        <w:rPr>
          <w:b/>
          <w:bCs/>
        </w:rPr>
        <w:t xml:space="preserve">Maximum Liability.</w:t>
      </w:r>
      <w:r>
        <w:t xml:space="preserve"> The Subcontractor's (or Contractor's in a client agreement) liability under this agreement shall not exceed the fees paid under this agreement during the </w:t>
      </w:r>
      <w:r>
        <w:rPr>
          <w:b/>
          <w:bCs/>
        </w:rPr>
        <w:t xml:space="preserve">12 months</w:t>
      </w:r>
      <w:r>
        <w:t xml:space="preserve"> preceding the date upon which the related claim arose.</w:t>
      </w:r>
    </w:p>
    <w:p>
      <w:pPr>
        <w:pStyle w:val="Heading2"/>
        <w:keepNext/>
        <w:spacing w:after="180" w:before="360"/>
      </w:pPr>
      <w:r>
        <w:t xml:space="preserve">7. Effect of Termination</w:t>
      </w:r>
    </w:p>
    <w:p>
      <w:pPr>
        <w:spacing w:after="180"/>
        <w:jc w:val="both"/>
      </w:pPr>
      <w:r>
        <w:rPr>
          <w:b/>
          <w:bCs/>
        </w:rPr>
        <w:t xml:space="preserve">Payment Obligations.</w:t>
      </w:r>
      <w:r>
        <w:t xml:space="preserve"> Upon the expiration or termination of this agreement, each party shall pay any amounts it owes to the other party, including payment obligations for Services already rendered, or refund any payments received but not yet earned, including payments for Services not rendered.</w:t>
      </w:r>
    </w:p>
    <w:p>
      <w:pPr>
        <w:spacing w:after="180"/>
        <w:jc w:val="both"/>
      </w:pPr>
      <w:r>
        <w:rPr>
          <w:b/>
          <w:bCs/>
        </w:rPr>
        <w:t xml:space="preserve">Performer Obligations.</w:t>
      </w:r>
      <w:r>
        <w:t xml:space="preserve"> Upon receipt of notice of such termination, the Subcontractor (Subcontractor or Contractor, depending on the agreement type) shall promptly terminate all Services in progress, inform the principal of the extent to which performance has been completed, and deliver to the principal whatever Deliverables produced in the performance of the Services.</w:t>
      </w:r>
    </w:p>
    <w:p>
      <w:pPr>
        <w:spacing w:after="180"/>
        <w:jc w:val="both"/>
      </w:pPr>
      <w:r>
        <w:rPr>
          <w:b/>
          <w:bCs/>
        </w:rPr>
        <w:t xml:space="preserve">Survival.</w:t>
      </w:r>
      <w:r>
        <w:t xml:space="preserve"> Upon the termination of this agreement, the obligations of the Parties regarding </w:t>
      </w:r>
      <w:r>
        <w:rPr>
          <w:b/>
          <w:bCs/>
        </w:rPr>
        <w:t xml:space="preserve">intellectual property, confidentiality, non-solicitation and non-compete</w:t>
      </w:r>
      <w:r>
        <w:t xml:space="preserve"> shall survive.</w:t>
      </w:r>
    </w:p>
    <w:p>
      <w:pPr>
        <w:pStyle w:val="Heading2"/>
        <w:keepNext/>
        <w:spacing w:after="180" w:before="360"/>
      </w:pPr>
      <w:r>
        <w:t xml:space="preserve">Three separate obligations</w:t>
      </w:r>
    </w:p>
    <w:p>
      <w:pPr>
        <w:spacing w:after="180"/>
        <w:jc w:val="both"/>
      </w:pPr>
      <w:r>
        <w:t xml:space="preserve">This clause breaks into three independent duties:</w:t>
      </w:r>
    </w:p>
    <w:p>
      <w:pPr>
        <w:pStyle w:val="Heading3"/>
        <w:keepNext/>
        <w:spacing w:after="120" w:before="240"/>
      </w:pPr>
      <w:r>
        <w:t xml:space="preserve">1. Settlement (Payment Obligations)</w:t>
      </w:r>
    </w:p>
    <w:p>
      <w:pPr>
        <w:spacing w:after="180"/>
        <w:jc w:val="both"/>
      </w:pPr>
      <w:r>
        <w:t xml:space="preserve">"Who owes, pays. Who got too much, refunds." A symmetric rule that works in both directions:</w:t>
      </w:r>
    </w:p>
    <w:p>
      <w:pPr>
        <w:pStyle w:val="ListParagraph"/>
        <w:numPr>
          <w:ilvl w:val="0"/>
          <w:numId w:val="1"/>
        </w:numPr>
        <w:spacing w:after="60"/>
      </w:pPr>
      <w:r>
        <w:rPr>
          <w:b/>
          <w:bCs/>
        </w:rPr>
        <w:t xml:space="preserve">Our debt</w:t>
      </w:r>
      <w:r>
        <w:t xml:space="preserve"> — if we haven't paid for work done before</w:t>
      </w:r>
    </w:p>
    <w:p>
      <w:pPr>
        <w:spacing w:after="180"/>
        <w:jc w:val="both"/>
      </w:pPr>
      <w:r>
        <w:t xml:space="preserve">termination, we must settle.</w:t>
      </w:r>
    </w:p>
    <w:p>
      <w:pPr>
        <w:pStyle w:val="ListParagraph"/>
        <w:numPr>
          <w:ilvl w:val="0"/>
          <w:numId w:val="1"/>
        </w:numPr>
        <w:spacing w:after="60"/>
      </w:pPr>
      <w:r>
        <w:rPr>
          <w:b/>
          <w:bCs/>
        </w:rPr>
        <w:t xml:space="preserve">Their debt</w:t>
      </w:r>
      <w:r>
        <w:t xml:space="preserve"> — if we pre-paid for work not yet done, they</w:t>
      </w:r>
    </w:p>
    <w:p>
      <w:pPr>
        <w:spacing w:after="180"/>
        <w:jc w:val="both"/>
      </w:pPr>
      <w:r>
        <w:t xml:space="preserve">refund (or we agree to credit against future projects).</w:t>
      </w:r>
    </w:p>
    <w:p>
      <w:pPr>
        <w:pStyle w:val="Heading3"/>
        <w:keepNext/>
        <w:spacing w:after="120" w:before="240"/>
      </w:pPr>
      <w:r>
        <w:t xml:space="preserve">2. Handover (Performer obligations)</w:t>
      </w:r>
    </w:p>
    <w:p>
      <w:pPr>
        <w:spacing w:after="180"/>
        <w:jc w:val="both"/>
      </w:pPr>
      <w:r>
        <w:t xml:space="preserve">Immediate stop + status report + delivery. Three actions that must happen the day notice is received:</w:t>
      </w:r>
    </w:p>
    <w:p>
      <w:pPr>
        <w:pStyle w:val="ListParagraph"/>
        <w:numPr>
          <w:ilvl w:val="0"/>
          <w:numId w:val="1"/>
        </w:numPr>
        <w:spacing w:after="60"/>
      </w:pPr>
      <w:r>
        <w:rPr>
          <w:b/>
          <w:bCs/>
        </w:rPr>
        <w:t xml:space="preserve">Stop</w:t>
      </w:r>
      <w:r>
        <w:t xml:space="preserve"> — the performer takes on no new tasks</w:t>
      </w:r>
    </w:p>
    <w:p>
      <w:pPr>
        <w:pStyle w:val="ListParagraph"/>
        <w:numPr>
          <w:ilvl w:val="0"/>
          <w:numId w:val="1"/>
        </w:numPr>
        <w:spacing w:after="60"/>
      </w:pPr>
      <w:r>
        <w:rPr>
          <w:b/>
          <w:bCs/>
        </w:rPr>
        <w:t xml:space="preserve">Report</w:t>
      </w:r>
      <w:r>
        <w:t xml:space="preserve"> — what's done, what's in progress, what's not started</w:t>
      </w:r>
    </w:p>
    <w:p>
      <w:pPr>
        <w:pStyle w:val="ListParagraph"/>
        <w:numPr>
          <w:ilvl w:val="0"/>
          <w:numId w:val="1"/>
        </w:numPr>
        <w:spacing w:after="60"/>
      </w:pPr>
      <w:r>
        <w:rPr>
          <w:b/>
          <w:bCs/>
        </w:rPr>
        <w:t xml:space="preserve">Deliver</w:t>
      </w:r>
      <w:r>
        <w:t xml:space="preserve"> — all work product (code, docs, access) transfers</w:t>
      </w:r>
    </w:p>
    <w:p>
      <w:pPr>
        <w:spacing w:after="180"/>
        <w:jc w:val="both"/>
      </w:pPr>
      <w:r>
        <w:t xml:space="preserve">to the principal</w:t>
      </w:r>
    </w:p>
    <w:p>
      <w:pPr>
        <w:spacing w:after="180"/>
        <w:jc w:val="both"/>
      </w:pPr>
      <w:r>
        <w:t xml:space="preserve">If the performer ignores this clause, we have legal grounds to demand performance and to withhold the final payment until handover is complete.</w:t>
      </w:r>
    </w:p>
    <w:p>
      <w:pPr>
        <w:pStyle w:val="Heading3"/>
        <w:keepNext/>
        <w:spacing w:after="120" w:before="240"/>
      </w:pPr>
      <w:r>
        <w:t xml:space="preserve">3. Survival</w:t>
      </w:r>
    </w:p>
    <w:p>
      <w:pPr>
        <w:spacing w:after="180"/>
        <w:jc w:val="both"/>
      </w:pPr>
      <w:r>
        <w:t xml:space="preserve">What stays in force after the agreement ends:</w:t>
      </w:r>
    </w:p>
    <w:p>
      <w:pPr>
        <w:pStyle w:val="ListParagraph"/>
        <w:numPr>
          <w:ilvl w:val="0"/>
          <w:numId w:val="1"/>
        </w:numPr>
        <w:spacing w:after="60"/>
      </w:pPr>
      <w:r>
        <w:rPr>
          <w:b/>
          <w:bCs/>
        </w:rPr>
        <w:t xml:space="preserve">IP</w:t>
      </w:r>
      <w:r>
        <w:t xml:space="preserve"> — rights to delivered Deliverables remain with the</w:t>
      </w:r>
    </w:p>
    <w:p>
      <w:pPr>
        <w:spacing w:after="180"/>
        <w:jc w:val="both"/>
      </w:pPr>
      <w:r>
        <w:t xml:space="preserve">principal</w:t>
      </w:r>
    </w:p>
    <w:p>
      <w:pPr>
        <w:pStyle w:val="ListParagraph"/>
        <w:numPr>
          <w:ilvl w:val="0"/>
          <w:numId w:val="1"/>
        </w:numPr>
        <w:spacing w:after="60"/>
      </w:pPr>
      <w:r>
        <w:rPr>
          <w:b/>
          <w:bCs/>
        </w:rPr>
        <w:t xml:space="preserve">Confidentiality</w:t>
      </w:r>
      <w:r>
        <w:t xml:space="preserve"> — anything disclosed remains confidential</w:t>
      </w:r>
    </w:p>
    <w:p>
      <w:pPr>
        <w:spacing w:after="180"/>
        <w:jc w:val="both"/>
      </w:pPr>
      <w:r>
        <w:t xml:space="preserve">(per Mutual Confidentiality terms)</w:t>
      </w:r>
    </w:p>
    <w:p>
      <w:pPr>
        <w:pStyle w:val="ListParagraph"/>
        <w:numPr>
          <w:ilvl w:val="0"/>
          <w:numId w:val="1"/>
        </w:numPr>
        <w:spacing w:after="60"/>
      </w:pPr>
      <w:r>
        <w:rPr>
          <w:b/>
          <w:bCs/>
        </w:rPr>
        <w:t xml:space="preserve">Non-solicitation</w:t>
      </w:r>
      <w:r>
        <w:t xml:space="preserve"> — 1 year in subcontracts runs from Start</w:t>
      </w:r>
    </w:p>
    <w:p>
      <w:pPr>
        <w:spacing w:after="180"/>
        <w:jc w:val="both"/>
      </w:pPr>
      <w:r>
        <w:t xml:space="preserve">date, not from termination</w:t>
      </w:r>
    </w:p>
    <w:p>
      <w:pPr>
        <w:pStyle w:val="ListParagraph"/>
        <w:numPr>
          <w:ilvl w:val="0"/>
          <w:numId w:val="1"/>
        </w:numPr>
        <w:spacing w:after="60"/>
      </w:pPr>
      <w:r>
        <w:rPr>
          <w:b/>
          <w:bCs/>
        </w:rPr>
        <w:t xml:space="preserve">Non-compete</w:t>
      </w:r>
      <w:r>
        <w:t xml:space="preserve"> — same</w:t>
      </w:r>
    </w:p>
    <w:p>
      <w:pPr>
        <w:spacing w:after="180"/>
        <w:jc w:val="both"/>
      </w:pPr>
      <w:r>
        <w:t xml:space="preserve">Survival is the key mechanism that makes a clean termination possible: if you exit, you don't walk away with the IP, clients, confidential information, or the right to poach.</w:t>
      </w:r>
    </w:p>
    <w:p>
      <w:pPr>
        <w:pStyle w:val="Heading2"/>
        <w:keepNext/>
        <w:spacing w:after="180" w:before="360"/>
      </w:pPr>
      <w:r>
        <w:t xml:space="preserve">8. Dispute Resolution</w:t>
      </w:r>
    </w:p>
    <w:p>
      <w:pPr>
        <w:spacing w:after="180"/>
        <w:jc w:val="both"/>
      </w:pPr>
      <w:r>
        <w:rPr>
          <w:b/>
          <w:bCs/>
        </w:rPr>
        <w:t xml:space="preserve">Negotiation.</w:t>
      </w:r>
      <w:r>
        <w:t xml:space="preserve"> In case of any controversy or claim arising out of this agreement, the parties shall consult and negotiate with each other and attempt to reach a mutually satisfactory solution.</w:t>
      </w:r>
    </w:p>
    <w:p>
      <w:pPr>
        <w:spacing w:after="180"/>
        <w:jc w:val="both"/>
      </w:pPr>
      <w:r>
        <w:rPr>
          <w:b/>
          <w:bCs/>
        </w:rPr>
        <w:t xml:space="preserve">Choice of forum.</w:t>
      </w:r>
      <w:r>
        <w:t xml:space="preserve"> If the parties do not reach a settlement within a period of </w:t>
      </w:r>
      <w:r>
        <w:rPr>
          <w:b/>
          <w:bCs/>
        </w:rPr>
        <w:t xml:space="preserve">60 days</w:t>
      </w:r>
      <w:r>
        <w:t xml:space="preserve">, any unresolved controversy or claim shall be settled in the </w:t>
      </w:r>
      <w:r>
        <w:rPr>
          <w:b/>
          <w:bCs/>
        </w:rPr>
        <w:t xml:space="preserve">courts of England and Wales</w:t>
      </w:r>
      <w:r>
        <w:t xml:space="preserve">.</w:t>
      </w:r>
    </w:p>
    <w:p>
      <w:pPr>
        <w:pStyle w:val="Heading2"/>
        <w:keepNext/>
        <w:spacing w:after="180" w:before="360"/>
      </w:pPr>
      <w:r>
        <w:t xml:space="preserve">9. Signatures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Acme Services GmbH</w:t>
            </w:r>
          </w:p>
        </w:tc>
        <w:tc>
          <w:tcPr>
            <w:tcW w:type="pct" w:w="50%"/>
            <w:shd w:fill="EEE9D4" w:val="clear"/>
            <w:tcMar>
              <w:top w:type="dxa" w:w="80"/>
              <w:left w:type="dxa" w:w="120"/>
              <w:bottom w:type="dxa" w:w="80"/>
              <w:right w:type="dxa" w:w="120"/>
            </w:tcMar>
          </w:tcPr>
          <w:p>
            <w:pPr>
              <w:spacing w:after="60" w:before="60"/>
            </w:pPr>
            <w:r>
              <w:rPr>
                <w:b/>
                <w:bCs/>
                <w:sz w:val="20"/>
                <w:szCs w:val="20"/>
              </w:rPr>
              <w:t xml:space="preserve">Customer</w:t>
            </w:r>
          </w:p>
        </w:tc>
      </w:tr>
      <w:tr>
        <w:tc>
          <w:tcPr>
            <w:tcW w:type="pct" w:w="50%"/>
            <w:tcMar>
              <w:top w:type="dxa" w:w="80"/>
              <w:left w:type="dxa" w:w="120"/>
              <w:bottom w:type="dxa" w:w="80"/>
              <w:right w:type="dxa" w:w="120"/>
            </w:tcMar>
          </w:tcPr>
          <w:p>
            <w:pPr>
              <w:spacing w:after="60" w:before="60"/>
            </w:pPr>
            <w:r>
              <w:rPr>
                <w:b w:val="false"/>
                <w:bCs w:val="false"/>
                <w:sz w:val="20"/>
                <w:szCs w:val="20"/>
              </w:rPr>
              <w:t xml:space="preserve">Registry code: HRB123456X / VAT ID: DE999888777</w:t>
            </w:r>
          </w:p>
        </w:tc>
        <w:tc>
          <w:tcPr>
            <w:tcW w:type="pct" w:w="50%"/>
            <w:tcMar>
              <w:top w:type="dxa" w:w="80"/>
              <w:left w:type="dxa" w:w="120"/>
              <w:bottom w:type="dxa" w:w="80"/>
              <w:right w:type="dxa" w:w="120"/>
            </w:tcMar>
          </w:tcPr>
          <w:p>
            <w:pPr>
              <w:spacing w:after="60" w:before="60"/>
            </w:pPr>
            <w:r>
              <w:rPr>
                <w:b w:val="false"/>
                <w:bCs w:val="false"/>
                <w:sz w:val="20"/>
                <w:szCs w:val="20"/>
              </w:rPr>
              <w:t xml:space="preserve">Company ID / VAT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Jurisdiction: Germany</w:t>
            </w:r>
          </w:p>
        </w:tc>
        <w:tc>
          <w:tcPr>
            <w:tcW w:type="pct" w:w="50%"/>
            <w:tcMar>
              <w:top w:type="dxa" w:w="80"/>
              <w:left w:type="dxa" w:w="120"/>
              <w:bottom w:type="dxa" w:w="80"/>
              <w:right w:type="dxa" w:w="120"/>
            </w:tcMar>
          </w:tcPr>
          <w:p>
            <w:pPr>
              <w:spacing w:after="60" w:before="60"/>
            </w:pPr>
            <w:r>
              <w:rPr>
                <w:b w:val="false"/>
                <w:bCs w:val="false"/>
                <w:sz w:val="20"/>
                <w:szCs w:val="20"/>
              </w:rPr>
              <w:t xml:space="preserve">Jurisdiction: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Address: Musterstraße 1, Berlin, 10115, Germany</w:t>
            </w:r>
          </w:p>
        </w:tc>
        <w:tc>
          <w:tcPr>
            <w:tcW w:type="pct" w:w="50%"/>
            <w:tcMar>
              <w:top w:type="dxa" w:w="80"/>
              <w:left w:type="dxa" w:w="120"/>
              <w:bottom w:type="dxa" w:w="80"/>
              <w:right w:type="dxa" w:w="120"/>
            </w:tcMar>
          </w:tcPr>
          <w:p>
            <w:pPr>
              <w:spacing w:after="60" w:before="60"/>
            </w:pPr>
            <w:r>
              <w:rPr>
                <w:b w:val="false"/>
                <w:bCs w:val="false"/>
                <w:sz w:val="20"/>
                <w:szCs w:val="20"/>
              </w:rPr>
              <w:t xml:space="preserve">Address: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r>
      <w:tr>
        <w:tc>
          <w:tcPr>
            <w:tcW w:type="pct" w:w="50%"/>
            <w:tcMar>
              <w:top w:type="dxa" w:w="80"/>
              <w:left w:type="dxa" w:w="120"/>
              <w:bottom w:type="dxa" w:w="80"/>
              <w:right w:type="dxa" w:w="120"/>
            </w:tcMar>
          </w:tcPr>
          <w:p>
            <w:pPr>
              <w:spacing w:after="60" w:before="60"/>
            </w:pPr>
            <w:r>
              <w:rPr>
                <w:b/>
                <w:bCs/>
                <w:sz w:val="20"/>
                <w:szCs w:val="20"/>
              </w:rPr>
              <w:t xml:space="preserve">[Director Name], Director</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bl>
    <w:p>
      <w:pPr>
        <w:spacing w:after="160" w:before="0"/>
      </w:pPr>
      <w:r>
        <w:t xml:space="preserve"/>
      </w:r>
    </w:p>
    <w:p>
      <w:pPr>
        <w:pBdr>
          <w:bottom w:val="single" w:color="CCCCCC" w:sz="6" w:space="1"/>
        </w:pBdr>
        <w:spacing w:after="200" w:before="200"/>
      </w:pPr>
      <w:r>
        <w:t xml:space="preserve"/>
      </w:r>
    </w:p>
    <w:p>
      <w:pPr>
        <w:pStyle w:val="Heading2"/>
        <w:keepNext/>
        <w:spacing w:after="180" w:before="360"/>
      </w:pPr>
      <w:r>
        <w:t xml:space="preserve">Attachment A — Rate Sheet</w:t>
      </w:r>
    </w:p>
    <w:p>
      <w:pPr>
        <w:spacing w:after="180"/>
        <w:jc w:val="both"/>
      </w:pPr>
      <w:r>
        <w:t xml:space="preserve">To the Time &amp; Materials Agreement dated ___________.</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Role</w:t>
            </w:r>
          </w:p>
        </w:tc>
        <w:tc>
          <w:tcPr>
            <w:tcW w:type="pct" w:w="50%"/>
            <w:shd w:fill="EEE9D4" w:val="clear"/>
            <w:tcMar>
              <w:top w:type="dxa" w:w="80"/>
              <w:left w:type="dxa" w:w="120"/>
              <w:bottom w:type="dxa" w:w="80"/>
              <w:right w:type="dxa" w:w="120"/>
            </w:tcMar>
          </w:tcPr>
          <w:p>
            <w:pPr>
              <w:spacing w:after="60" w:before="60"/>
            </w:pPr>
            <w:r>
              <w:rPr>
                <w:b/>
                <w:bCs/>
                <w:sz w:val="20"/>
                <w:szCs w:val="20"/>
              </w:rPr>
              <w:t xml:space="preserve">Hourly rate, EUR (€)</w:t>
            </w:r>
          </w:p>
        </w:tc>
      </w:tr>
      <w:tr>
        <w:tc>
          <w:tcPr>
            <w:tcW w:type="pct" w:w="50%"/>
            <w:tcMar>
              <w:top w:type="dxa" w:w="80"/>
              <w:left w:type="dxa" w:w="120"/>
              <w:bottom w:type="dxa" w:w="80"/>
              <w:right w:type="dxa" w:w="120"/>
            </w:tcMar>
          </w:tcPr>
          <w:p>
            <w:pPr>
              <w:spacing w:after="60" w:before="60"/>
            </w:pPr>
            <w:r>
              <w:rPr>
                <w:b w:val="false"/>
                <w:bCs w:val="false"/>
                <w:sz w:val="20"/>
                <w:szCs w:val="20"/>
              </w:rPr>
              <w:t xml:space="preserve">Senior Developer</w:t>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Mid-Level Developer</w:t>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QA Engineer</w:t>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DevOps / Infrastructure</w:t>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Project Manager</w:t>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Tech Lead</w:t>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bl>
    <w:p>
      <w:pPr>
        <w:spacing w:after="160" w:before="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8A8578"/>
        <w:sz w:val="16"/>
        <w:szCs w:val="16"/>
      </w:rPr>
      <w:t xml:space="preserve">Договір Time &amp; Materials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Договір Time &amp; Materials</dc:title>
  <dc:creator>Drafters</dc:creator>
  <dc:description>Exported from Drafters — Договір Time &amp; Materials</dc:description>
  <cp:lastModifiedBy>Un-named</cp:lastModifiedBy>
  <cp:revision>1</cp:revision>
  <dcterms:created xsi:type="dcterms:W3CDTF">2026-04-13T08:49:30.741Z</dcterms:created>
  <dcterms:modified xsi:type="dcterms:W3CDTF">2026-04-13T08:49:30.741Z</dcterms:modified>
</cp:coreProperties>
</file>

<file path=docProps/custom.xml><?xml version="1.0" encoding="utf-8"?>
<Properties xmlns="http://schemas.openxmlformats.org/officeDocument/2006/custom-properties" xmlns:vt="http://schemas.openxmlformats.org/officeDocument/2006/docPropsVTypes"/>
</file>