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Договір про обробку даних (2026)</w:t>
      </w:r>
    </w:p>
    <w:p>
      <w:pPr>
        <w:spacing w:after="180"/>
        <w:jc w:val="both"/>
      </w:pPr>
      <w:r>
        <w:rPr>
          <w:b/>
          <w:bCs/>
        </w:rPr>
        <w:t xml:space="preserve">Data Processing Agreement (DPA)</w:t>
      </w:r>
      <w:r>
        <w:t xml:space="preserve"> — додаток до MSA, необхідний коли ми обробляємо персональні дані від імені клієнта. Вимагається GDPR (стаття 28) для будь-якого engagement, де наш код або інфраструктура торкається особистих даних кінцевих користувачів клієнта.</w:t>
      </w:r>
    </w:p>
    <w:p>
      <w:pPr>
        <w:pStyle w:val="Heading2"/>
        <w:keepNext/>
        <w:spacing w:after="180" w:before="360"/>
      </w:pPr>
      <w:r>
        <w:t xml:space="preserve">Коли DPA обов'язковий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Клієнт — EU-based компанія (або обробляє дані EU residents)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Наш код має доступ до PII: імена, email, IP адреси, usage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 використовуємо cloud services (AWS, GCP) для зберігання клієнтських даних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Клієнт проходить compliance audit або certification</w:t>
      </w:r>
    </w:p>
    <w:p>
      <w:pPr>
        <w:pStyle w:val="Heading2"/>
        <w:keepNext/>
        <w:spacing w:after="180" w:before="360"/>
      </w:pPr>
      <w:r>
        <w:t xml:space="preserve">Коли DPA НЕ потрібен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 розробляємо on-premise і не маємо доступу до production даних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Проект не включає personal data (pure infrastructure, internal tooling)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Клієнт — не EU-based і не обробляє EU residents' data (рідкісний випадок)</w:t>
      </w:r>
    </w:p>
    <w:p>
      <w:pPr>
        <w:pStyle w:val="Heading2"/>
        <w:keepNext/>
        <w:spacing w:after="180" w:before="360"/>
      </w:pPr>
      <w:r>
        <w:t xml:space="preserve">Склад документа</w:t>
      </w:r>
    </w:p>
    <w:p>
      <w:pPr>
        <w:spacing w:after="180"/>
        <w:jc w:val="both"/>
      </w:pPr>
      <w:r>
        <w:t xml:space="preserve">DPA спирається на 4 пункти: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Processing — НОВА clause: ролі Controller/Processor, sub-processors, breach notification (48 годин), audit rights, data return/deletion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Confidentiality Mutual — ширша NDA-level obligation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Liability Limitation Mutual — стандартне обмеження (з caveat: GDPR fines excluded)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Dispute Resolution UK — England &amp; Wales</w:t>
      </w:r>
    </w:p>
    <w:p>
      <w:pPr>
        <w:spacing w:after="180"/>
        <w:jc w:val="both"/>
      </w:pPr>
      <w:r>
        <w:t xml:space="preserve">Також містить 3 обов'язкових annex: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Annex A — Details of Processing</w:t>
      </w:r>
      <w:r>
        <w:t xml:space="preserve"> — категорії даних, data subjects, операції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Annex B — Approved Sub-processors</w:t>
      </w:r>
      <w:r>
        <w:t xml:space="preserve"> — список cloud/SaaS providers з локацією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Annex C — Technical and Organizational Measures</w:t>
      </w:r>
      <w:r>
        <w:t xml:space="preserve"> — encryption, access control, backups, incident response</w:t>
      </w:r>
    </w:p>
    <w:p>
      <w:pPr>
        <w:pStyle w:val="Heading2"/>
        <w:keepNext/>
        <w:spacing w:after="180" w:before="360"/>
      </w:pPr>
      <w:r>
        <w:t xml:space="preserve">Зв'язок з іншими документами</w:t>
      </w:r>
    </w:p>
    <w:p>
      <w:pPr>
        <w:spacing w:after="180"/>
        <w:jc w:val="both"/>
      </w:pPr>
      <w:r>
        <w:t xml:space="preserve">DPA підписується разом з MSA і діє весь час дії основного договору. Також може застосовуватися до T&amp;M, Dedicated Team та SoW — фактично, до будь-якого engagement де є personal data.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Договір про обробку даних (2026)</dc:title>
  <dc:creator>Drafters</dc:creator>
  <dc:description>Exported from Drafters — Договір про обробку даних (2026)</dc:description>
  <cp:lastModifiedBy>Un-named</cp:lastModifiedBy>
  <cp:revision>1</cp:revision>
  <dcterms:created xsi:type="dcterms:W3CDTF">2026-04-13T08:49:30.748Z</dcterms:created>
  <dcterms:modified xsi:type="dcterms:W3CDTF">2026-04-13T08:49:30.748Z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