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Services Agreement — Acme Services GmbH (2026)</w:t>
      </w:r>
    </w:p>
    <w:p>
      <w:pPr>
        <w:spacing w:after="180"/>
        <w:jc w:val="both"/>
      </w:pPr>
      <w:r>
        <w:rPr>
          <w:b/>
          <w:bCs/>
        </w:rPr>
        <w:t xml:space="preserve">Services Agreement</w:t>
      </w:r>
      <w:r>
        <w:t xml:space="preserve"> — основний клієнтський договір Acme Services Software GMBH. Підписується з кожним новим клієнтом перед початком роботи. Цей документ визначає </w:t>
      </w:r>
      <w:r>
        <w:rPr>
          <w:b/>
          <w:bCs/>
        </w:rPr>
        <w:t xml:space="preserve">рамки</w:t>
      </w:r>
      <w:r>
        <w:t xml:space="preserve"> співпраці: як ми працюємо, як виставляємо рахунки, хто володіє результатами і що відбувається при розірванні.</w:t>
      </w:r>
    </w:p>
    <w:p>
      <w:pPr>
        <w:spacing w:after="180"/>
        <w:jc w:val="both"/>
      </w:pPr>
      <w:r>
        <w:t xml:space="preserve">Для операційних параметрів конкретного проекту (response time, support hours, acceptance criteria) — дивіться SLA Template, що прикладається до цього договору як окремий документ.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Договір містить 9 пронумерованих розділів: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terms</w:t>
      </w:r>
      <w:r>
        <w:t xml:space="preserve"> — таблиця з послугами, платежами, овертаймом, rate increase (12% річних, вище ніж субпідрядний cap у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Payments</w:t>
      </w:r>
      <w:r>
        <w:t xml:space="preserve"> — містить Payment Dispute (client-facing) і Late Payments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після завершення, Customer не переманює наших людей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Deliverables and IP</w:t>
      </w:r>
      <w:r>
        <w:t xml:space="preserve"> — див. Client IP Assignment з rolling-transfer логікою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Publicity</w:t>
      </w:r>
      <w:r>
        <w:t xml:space="preserve"> — ми можемо згадувати клієнта в кейсах з його письмової згоди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of termination</w:t>
      </w:r>
      <w:r>
        <w:t xml:space="preserve"> — payment obligations, handover, survival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Limitation of liability and indemnification</w:t>
      </w:r>
      <w:r>
        <w:t xml:space="preserve"> — mutual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Dispute resolution</w:t>
      </w:r>
      <w:r>
        <w:t xml:space="preserve"> — див. Dispute Resolution UK (England and Wales, 60 днів)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Signatures</w:t>
      </w:r>
      <w:r>
        <w:t xml:space="preserve"> + Attachment A (Rate sheet у EUR)</w:t>
      </w:r>
    </w:p>
    <w:p>
      <w:pPr>
        <w:pStyle w:val="Heading2"/>
        <w:keepNext/>
        <w:spacing w:after="180" w:before="360"/>
      </w:pPr>
      <w:r>
        <w:t xml:space="preserve">Ключові параметри, у яких цей договір відрізняється від субпідрядних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Services Agreement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Subcontract Dev 2026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Платіжний цикл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Prepayment</w:t>
            </w:r>
            <w:r>
              <w:rPr>
                <w:b w:val="false"/>
                <w:bCs w:val="false"/>
                <w:sz w:val="20"/>
                <w:szCs w:val="20"/>
              </w:rPr>
              <w:t xml:space="preserve"> (передоплата)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Post-payment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Invoicing період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15 днів на оплату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21 день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Rate increase cap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12%</w:t>
            </w:r>
            <w:r>
              <w:rPr>
                <w:b w:val="false"/>
                <w:bCs w:val="false"/>
                <w:sz w:val="20"/>
                <w:szCs w:val="20"/>
              </w:rPr>
              <w:t xml:space="preserve"> річних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10% річних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Overtime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2× rate (з approval)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Без множника, тільки з approval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Late payments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0.5% / день</w:t>
            </w:r>
            <w:r>
              <w:rPr>
                <w:b w:val="false"/>
                <w:bCs w:val="false"/>
                <w:sz w:val="20"/>
                <w:szCs w:val="20"/>
              </w:rPr>
              <w:t xml:space="preserve"> відсотки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transfer timing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Rolling, під час оплат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Exclusively after full payment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розірвання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Передаємо all finished + unfinished paid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liability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Fees за останні 6–12 міс.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Fees за останні 12 міс.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rPr>
          <w:b/>
          <w:bCs/>
        </w:rPr>
        <w:t xml:space="preserve">Свідома різниця у cap на rate increase</w:t>
      </w:r>
      <w:r>
        <w:t xml:space="preserve"> — 12% у клієнтському договорі проти 10% у субпідрядних. Це захист маржі: якщо ринок стрибає і ми піднімаємо клієнту на 12%, а субпідрядник просить собі 10% — у нас залишається 2% буфер.</w:t>
      </w:r>
    </w:p>
    <w:p>
      <w:pPr>
        <w:pStyle w:val="Heading2"/>
        <w:keepNext/>
        <w:spacing w:after="180" w:before="360"/>
      </w:pPr>
      <w:r>
        <w:t xml:space="preserve">Цей документ — частина workflow клієнтського онбордингу</w:t>
      </w:r>
    </w:p>
    <w:p>
      <w:pPr>
        <w:spacing w:after="180"/>
        <w:jc w:val="both"/>
      </w:pPr>
      <w:r>
        <w:t xml:space="preserve">Підписання Services Agreement — це </w:t>
      </w:r>
      <w:r>
        <w:rPr>
          <w:b/>
          <w:bCs/>
        </w:rPr>
        <w:t xml:space="preserve">крок 4</w:t>
      </w:r>
      <w:r>
        <w:t xml:space="preserve"> процесу онбордингу клієнта. Попередні кроки: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Кваліфікація ліда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Discovery-сесія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Підписання NDA General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Узгодження SoW + підписання цього Services Agreement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Kick-off meeting + team staffing</w:t>
      </w:r>
    </w:p>
    <w:p>
      <w:pPr>
        <w:pStyle w:val="Heading2"/>
        <w:keepNext/>
        <w:spacing w:after="180" w:before="360"/>
      </w:pPr>
      <w:r>
        <w:t xml:space="preserve">Що зазвичай обговорюється на переговорах</w:t>
      </w:r>
    </w:p>
    <w:p>
      <w:pPr>
        <w:spacing w:after="180"/>
        <w:jc w:val="both"/>
      </w:pPr>
      <w:r>
        <w:t xml:space="preserve">Великі клієнти майже завжди просять: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Більший cap на rate increase</w:t>
      </w:r>
      <w:r>
        <w:t xml:space="preserve"> — до 15%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Довші payment terms</w:t>
      </w:r>
      <w:r>
        <w:t xml:space="preserve"> — 30 або 45 днів замість 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Нижчий late payments rate</w:t>
      </w:r>
      <w:r>
        <w:t xml:space="preserve"> — 0.25%/день замість 0.5%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Прибрати Late Payments зовсім</w:t>
      </w:r>
      <w:r>
        <w:t xml:space="preserve"> — у великих ентерпрайзах це</w:t>
      </w:r>
    </w:p>
    <w:p>
      <w:pPr>
        <w:spacing w:after="180"/>
        <w:jc w:val="both"/>
      </w:pPr>
      <w:r>
        <w:t xml:space="preserve">"не наш процес"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Rolling → milestone IP transfer</w:t>
      </w:r>
      <w:r>
        <w:t xml:space="preserve"> — поступовий transfer по</w:t>
      </w:r>
    </w:p>
    <w:p>
      <w:pPr>
        <w:spacing w:after="180"/>
        <w:jc w:val="both"/>
      </w:pPr>
      <w:r>
        <w:t xml:space="preserve">milestone, не по платежу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Maximum liability cap</w:t>
      </w:r>
      <w:r>
        <w:t xml:space="preserve"> — фіксована сума (€50k, €100k), не %</w:t>
      </w:r>
    </w:p>
    <w:p>
      <w:pPr>
        <w:spacing w:after="180"/>
        <w:jc w:val="both"/>
      </w:pPr>
      <w:r>
        <w:t xml:space="preserve">від fees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 geography</w:t>
      </w:r>
      <w:r>
        <w:t xml:space="preserve"> — географічне обмеження</w:t>
      </w:r>
    </w:p>
    <w:p>
      <w:pPr>
        <w:spacing w:after="180"/>
        <w:jc w:val="both"/>
      </w:pPr>
      <w:r>
        <w:t xml:space="preserve">Переговори координуються через Account Manager і Legal. Head of Delivery підтверджує delivery-capacity і team staffing.</w:t>
      </w:r>
    </w:p>
    <w:p>
      <w:pPr>
        <w:pStyle w:val="Heading2"/>
        <w:keepNext/>
        <w:spacing w:after="180" w:before="360"/>
      </w:pPr>
      <w:r>
        <w:t xml:space="preserve">Джерело</w:t>
      </w:r>
    </w:p>
    <w:p>
      <w:pPr>
        <w:spacing w:after="180"/>
        <w:jc w:val="both"/>
      </w:pPr>
      <w:r>
        <w:t xml:space="preserve">Бібліотека — </w:t>
      </w:r>
      <w:r>
        <w:rPr>
          <w:rFonts w:ascii="Consolas" w:cs="Consolas" w:eastAsia="Consolas" w:hAnsi="Consolas"/>
        </w:rPr>
        <w:t xml:space="preserve">documents/services-agreement-2026.mdx</w:t>
      </w:r>
      <w:r>
        <w:t xml:space="preserve"> (Aug 2025, reviewed by Legal). Раніше жив у зовнішньому шейрінгу, тепер — у цьому репо.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Agreement — Acme Services GmbH (2026)</dc:title>
  <dc:creator>Drafters</dc:creator>
  <dc:description>Exported from Drafters — Services Agreement — Acme Services GmbH (2026)</dc:description>
  <cp:lastModifiedBy>Un-named</cp:lastModifiedBy>
  <cp:revision>1</cp:revision>
  <dcterms:created xsi:type="dcterms:W3CDTF">2026-04-13T08:49:30.806Z</dcterms:created>
  <dcterms:modified xsi:type="dcterms:W3CDTF">2026-04-13T08:49:30.806Z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