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права на інтелектуальну власність на великому проєкті через невиважене формулювання цього пункту. Не послаблювати без консультації. — Legal &lt;/aside&gt;</w:t>
      </w:r>
    </w:p>
    <w:p>
      <w:pPr>
        <w:spacing w:after="180"/>
        <w:jc w:val="both"/>
      </w:pPr>
      <w:r>
        <w:rPr>
          <w:b/>
          <w:bCs/>
        </w:rPr>
        <w:t xml:space="preserve">Кінцеві результати.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Код з відкритим кодом.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Критичні моменти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«Виключно після повної оплати»</w:t>
      </w:r>
      <w:r>
        <w:t xml:space="preserve"> —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допустимі. Але перевіряйте</w:t>
      </w:r>
    </w:p>
    <w:p>
      <w:pPr>
        <w:spacing w:after="180"/>
        <w:jc w:val="both"/>
      </w:pPr>
      <w:r>
        <w:t xml:space="preserve">з Legal для кожного нового проєкту.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2026-04-13T08:49:30.869Z</dcterms:created>
  <dcterms:modified xsi:type="dcterms:W3CDTF">2026-04-13T08:49:30.869Z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