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клієнтському Services Agreement стеля часто вища — до 12%.</w:t>
      </w:r>
    </w:p>
    <w:p>
      <w:pPr>
        <w:spacing w:after="180"/>
        <w:jc w:val="both"/>
      </w:pPr>
      <w:r>
        <w:t xml:space="preserve">У субпідрядних — 10%. Це свідома різниця,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«по ринку» без цієї стелі —</w:t>
      </w:r>
    </w:p>
    <w:p>
      <w:pPr>
        <w:spacing w:after="180"/>
        <w:jc w:val="both"/>
      </w:pPr>
      <w:r>
        <w:t xml:space="preserve">ми втрачаємо контроль над собівартістю проєкту.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2026-04-13T08:49:30.867Z</dcterms:created>
  <dcterms:modified xsi:type="dcterms:W3CDTF">2026-04-13T08:49:30.867Z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