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платіжних спорів</w:t>
      </w:r>
    </w:p>
    <w:p>
      <w:pPr>
        <w:spacing w:after="18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Контрактор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80"/>
        <w:jc w:val="both"/>
      </w:pPr>
      <w:r>
        <w:t xml:space="preserve">Платежі, які не оспорено Контрактором протягом 5 робочих днів з моменту отримання, вважаються прийнятими.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 робочих днів</w:t>
      </w:r>
      <w:r>
        <w:t xml:space="preserve"> — короткий термін. Якщо ваш процес апрувів</w:t>
      </w:r>
    </w:p>
    <w:p>
      <w:pPr>
        <w:spacing w:after="180"/>
        <w:jc w:val="both"/>
      </w:pPr>
      <w:r>
        <w:t xml:space="preserve">довший — погодьте 10 днів у тексті.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"Undisputed by the Contractor within 5 business days ... considered</w:t>
      </w:r>
    </w:p>
    <w:p>
      <w:pPr>
        <w:spacing w:after="180"/>
        <w:jc w:val="both"/>
      </w:pPr>
      <w:r>
        <w:t xml:space="preserve">accepted" — тихе прийняття. Якщо не встигли оспорити — сплачуйте.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Цей пункт працює разом із Rate Increase та пунктом Invoicing</w:t>
      </w:r>
    </w:p>
    <w:p>
      <w:pPr>
        <w:spacing w:after="180"/>
        <w:jc w:val="both"/>
      </w:pPr>
      <w:r>
        <w:t xml:space="preserve">у Key Terms таблиці.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платіжних спорів</dc:title>
  <dc:creator>Drafters</dc:creator>
  <dc:description>Exported from Drafters — Розв'язання платіжних спорів</dc:description>
  <cp:lastModifiedBy>Un-named</cp:lastModifiedBy>
  <cp:revision>1</cp:revision>
  <dcterms:created xsi:type="dcterms:W3CDTF">2026-04-13T08:49:30.974Z</dcterms:created>
  <dcterms:modified xsi:type="dcterms:W3CDTF">2026-04-13T08:49:30.974Z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