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Time &amp; Materials (2026)</w:t>
      </w:r>
    </w:p>
    <w:p>
      <w:pPr>
        <w:spacing w:after="180"/>
        <w:jc w:val="both"/>
      </w:pPr>
      <w:r>
        <w:rPr>
          <w:b/>
          <w:bCs/>
        </w:rPr>
        <w:t xml:space="preserve">Time &amp; Materials Agreement</w:t>
      </w:r>
      <w:r>
        <w:t xml:space="preserve"> — клієнтський договір для проектів із погодинною або поденною тарифікацією. На відміну від основного MSA (який передбачає prepayment за оцінені години), T&amp;M білить за </w:t>
      </w:r>
      <w:r>
        <w:rPr>
          <w:b/>
          <w:bCs/>
        </w:rPr>
        <w:t xml:space="preserve">фактично витрачений час</w:t>
      </w:r>
      <w:r>
        <w:t xml:space="preserve"> з щомісячною звітністю.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Проекти з </w:t>
      </w:r>
      <w:r>
        <w:rPr>
          <w:b/>
          <w:bCs/>
        </w:rPr>
        <w:t xml:space="preserve">нечітким або змінним scope</w:t>
      </w:r>
      <w:r>
        <w:t xml:space="preserve"> — клієнт ще не знає точний обсяг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Довгострокова підтримка</w:t>
      </w:r>
      <w:r>
        <w:t xml:space="preserve"> та розвиток існуючого продукту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Ситуації, коли клієнт хоче </w:t>
      </w:r>
      <w:r>
        <w:rPr>
          <w:b/>
          <w:bCs/>
        </w:rPr>
        <w:t xml:space="preserve">прямий контроль</w:t>
      </w:r>
      <w:r>
        <w:t xml:space="preserve"> над пріоритами і витратами часу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Ранні фази проекту (discovery, прототипування) до переходу на fixed-price SoW</w:t>
      </w:r>
    </w:p>
    <w:p>
      <w:pPr>
        <w:pStyle w:val="Heading2"/>
        <w:keepNext/>
        <w:spacing w:after="180" w:before="360"/>
      </w:pPr>
      <w:r>
        <w:t xml:space="preserve">Ключові відмінності від MSA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MSA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T&amp;M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Оплата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Prepayment за оцінку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Post-payment за факт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Звітність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Без деталей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Детальний time report з описом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Expense reimbursement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Так (pre-approved, порог €500)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Overtime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2× rate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150% rate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increase cap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12% / 12 мес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12% / 12 мес, 60 днів notice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Склад документа</w:t>
      </w:r>
    </w:p>
    <w:p>
      <w:pPr>
        <w:spacing w:after="180"/>
        <w:jc w:val="both"/>
      </w:pPr>
      <w:r>
        <w:t xml:space="preserve">Договір складається з 8 секцій і включає такі пункти: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Expense Reimbursement — нова clause для T&amp;M, покриває travel та проектні витрати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Dispute (client-facing) — стандартний клієнтський dispute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 Payments Interest — 0.5%/day stick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IP Assignment — IP переходить до клієнта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Termination At-Will — 30 днів notice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Liability Limitation Mutual — обопільне обмеження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 of Termination — наслідки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 Resolution UK — England &amp; Wales</w:t>
      </w:r>
    </w:p>
    <w:p>
      <w:pPr>
        <w:spacing w:after="180"/>
        <w:jc w:val="both"/>
      </w:pPr>
      <w:r>
        <w:t xml:space="preserve">Також містить </w:t>
      </w:r>
      <w:r>
        <w:rPr>
          <w:b/>
          <w:bCs/>
        </w:rPr>
        <w:t xml:space="preserve">Attachment A — Rate Sheet</w:t>
      </w:r>
      <w:r>
        <w:t xml:space="preserve"> з тарифами за роль.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Time &amp; Materials (2026)</dc:title>
  <dc:creator>Drafters</dc:creator>
  <dc:description>Exported from Drafters — Договір Time &amp; Materials (2026)</dc:description>
  <cp:lastModifiedBy>Un-named</cp:lastModifiedBy>
  <cp:revision>1</cp:revision>
  <dcterms:created xsi:type="dcterms:W3CDTF">2026-04-13T08:49:31.011Z</dcterms:created>
  <dcterms:modified xsi:type="dcterms:W3CDTF">2026-04-13T08:49:31.011Z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