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Acme Services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80"/>
        <w:jc w:val="both"/>
      </w:pPr>
      <w:r>
        <w:t xml:space="preserve">"Software consulting and development"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IP-пункт</w:t>
      </w:r>
      <w:r>
        <w:t xml:space="preserve"> — використовує спрощений варіант</w:t>
      </w:r>
    </w:p>
    <w:p>
      <w:pPr>
        <w:spacing w:after="180"/>
        <w:jc w:val="both"/>
      </w:pPr>
      <w:r>
        <w:t xml:space="preserve">без розгорнутого copyleft-застереження (бо PM не пишуть код)</w:t>
      </w:r>
    </w:p>
    <w:p>
      <w:pPr>
        <w:spacing w:after="18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keepNext/>
        <w:spacing w:after="180" w:before="36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80"/>
        <w:jc w:val="both"/>
      </w:pPr>
      <w:r>
        <w:t xml:space="preserve">на 10–20%, бо позиція рідкісніша і гірше масштабується.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Метрики інші.</w:t>
      </w:r>
      <w:r>
        <w:t xml:space="preserve"> PM вимірюємо не годинами code review, а</w:t>
      </w:r>
    </w:p>
    <w:p>
      <w:pPr>
        <w:spacing w:after="180"/>
        <w:jc w:val="both"/>
      </w:pPr>
      <w:r>
        <w:t xml:space="preserve">регулярністю standup-ів, здоров'ям беклогу, SLA на комунікацію.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</w:t>
      </w:r>
    </w:p>
    <w:p>
      <w:pPr>
        <w:spacing w:after="180"/>
        <w:jc w:val="both"/>
      </w:pPr>
      <w:r>
        <w:t xml:space="preserve">потребує 2-4 тижні knowledge transfer. Тому в реальному контракті важливо акцентувати Non-solicitation.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</w:t>
      </w:r>
    </w:p>
    <w:p>
      <w:pPr>
        <w:spacing w:after="180"/>
        <w:jc w:val="both"/>
      </w:pPr>
      <w:r>
        <w:t xml:space="preserve">і це складніше контролювати ніж у девів з код-ревʼю. Обговорюйте явно на старті.</w:t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8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2026-04-13T08:49:30.623Z</dcterms:created>
  <dcterms:modified xsi:type="dcterms:W3CDTF">2026-04-13T08:49:30.623Z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