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Онбординг субпідрядника (розробник)</w:t>
      </w:r>
    </w:p>
    <w:p>
      <w:pPr>
        <w:spacing w:after="180"/>
        <w:jc w:val="both"/>
      </w:pPr>
      <w:r>
        <w:t xml:space="preserve">Коли ми залучаємо зовнішнього розробника на проект, він проходить через п'ять кроків нижче. Цей процес стосується </w:t>
      </w:r>
      <w:r>
        <w:rPr>
          <w:b/>
          <w:bCs/>
        </w:rPr>
        <w:t xml:space="preserve">тільки розробників</w:t>
      </w:r>
      <w:r>
        <w:t xml:space="preserve">. Для PM-ів та маркетингу діють паралельні процеси з відповідними шаблонами договорів.</w:t>
      </w:r>
    </w:p>
    <w:p>
      <w:pPr>
        <w:spacing w:after="180"/>
        <w:jc w:val="both"/>
      </w:pPr>
      <w:r>
        <w:t xml:space="preserve">Більшість наших субпідрядників оформлюються як ФОП 3-ї групи в Україні або як еквівалент у іншій юрисдикції. Залежно від країни можуть змінюватись податкові та валютні нюанси, але сам процес онбордингу ідентичний.</w:t>
      </w:r>
    </w:p>
    <w:p>
      <w:pPr>
        <w:pStyle w:val="Heading2"/>
        <w:keepNext/>
        <w:spacing w:after="180" w:before="360"/>
      </w:pPr>
      <w:r>
        <w:t xml:space="preserve">Хто за що відповідає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 Lead — технічна оцінка, рішення про залучення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 — ставка, документообіг, інтеграція в проект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Legal — затвердження шаблону договору, юрисдикційні нюанси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Operations — акаунти, доступи, обладнання</w:t>
      </w:r>
    </w:p>
    <w:p>
      <w:pPr>
        <w:pStyle w:val="Heading2"/>
        <w:keepNext/>
        <w:spacing w:after="180" w:before="360"/>
      </w:pPr>
      <w:r>
        <w:t xml:space="preserve">Документи, які використовуються</w:t>
      </w:r>
    </w:p>
    <w:p>
      <w:pPr>
        <w:spacing w:after="180"/>
        <w:jc w:val="both"/>
      </w:pPr>
      <w:r>
        <w:t xml:space="preserve">Основний документ — договір субпідряду для розробника. Він композований з п'яти повторно використовуваних пунктів: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Dispute — як розв'язувати платіжні спори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Increase — коли і наскільки можна піднімати ставку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 Assignment — передача прав на результати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Non-solicitation — заборона переманювання персоналу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Non-compete — заборона прямої роботи з нашими клієнтами</w:t>
      </w:r>
    </w:p>
    <w:p>
      <w:pPr>
        <w:spacing w:after="180"/>
        <w:jc w:val="both"/>
      </w:pPr>
      <w:r>
        <w:t xml:space="preserve">Тому що пункти повторно використовуються, будь-яке оновлення (наприклад, зміна cap-у rate increase з 10% до 12%) автоматично застосовується до всіх договорів, у яких цей пункт ввімкнено — Dev, PM, Marketing. Жодного копі-пасту.</w:t>
      </w:r>
    </w:p>
    <w:p>
      <w:pPr>
        <w:pStyle w:val="Heading2"/>
        <w:keepNext/>
        <w:spacing w:after="180" w:before="360"/>
      </w:pPr>
      <w:r>
        <w:t xml:space="preserve">Що зазвичай йде не так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Затримка з Legal.</w:t>
      </w:r>
      <w:r>
        <w:t xml:space="preserve"> Якщо Legal не реагує за 2 дні — PM ескалує</w:t>
      </w:r>
    </w:p>
    <w:p>
      <w:pPr>
        <w:spacing w:after="180"/>
        <w:jc w:val="both"/>
      </w:pPr>
      <w:r>
        <w:t xml:space="preserve">до operations. Субпідрядники — нетерплячі, вони переходять до конкурентів за 3-4 дні очікування.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Неузгоджена ставка.</w:t>
      </w:r>
      <w:r>
        <w:t xml:space="preserve"> Tech Lead озвучує приблизну цифру, PM</w:t>
      </w:r>
    </w:p>
    <w:p>
      <w:pPr>
        <w:spacing w:after="180"/>
        <w:jc w:val="both"/>
      </w:pPr>
      <w:r>
        <w:t xml:space="preserve">озвучує іншу. Завжди фінальну ставку погоджує PM з посиланням на затверджений бюджет.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Доступи після підпису.</w:t>
      </w:r>
      <w:r>
        <w:t xml:space="preserve"> IT Operations має отримати тригер від PM</w:t>
      </w:r>
    </w:p>
    <w:p>
      <w:pPr>
        <w:spacing w:after="180"/>
        <w:jc w:val="both"/>
      </w:pPr>
      <w:r>
        <w:rPr>
          <w:b/>
          <w:bCs/>
        </w:rPr>
        <w:t xml:space="preserve">у день підписання</w:t>
      </w:r>
      <w:r>
        <w:t xml:space="preserve">, не раніше. Передчасні доступи — security risk; пізніші — простій.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Open-source гарантія.</w:t>
      </w:r>
      <w:r>
        <w:t xml:space="preserve"> Субпідрядники часто не читають секцію</w:t>
      </w:r>
    </w:p>
    <w:p>
      <w:pPr>
        <w:spacing w:after="180"/>
        <w:jc w:val="both"/>
      </w:pPr>
      <w:r>
        <w:t xml:space="preserve">IP Assignment про GPL/AGPL. Tech Lead має явно проговорити це на технічному інтерв'ю.</w:t>
      </w:r>
    </w:p>
    <w:p>
      <w:pPr>
        <w:pStyle w:val="Heading2"/>
        <w:keepNext/>
        <w:spacing w:after="180" w:before="360"/>
      </w:pPr>
      <w:r>
        <w:t xml:space="preserve">Пов'язані процеси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Staffing проекту — коли рішення про залучення прийнято, субпідрядник</w:t>
      </w:r>
    </w:p>
    <w:p>
      <w:pPr>
        <w:spacing w:after="180"/>
        <w:jc w:val="both"/>
      </w:pPr>
      <w:r>
        <w:t xml:space="preserve">потрапляє у план навантаження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Офбординг субпідрядника — дзеркальний процес, коли співпраця</w:t>
      </w:r>
    </w:p>
    <w:p>
      <w:pPr>
        <w:spacing w:after="180"/>
        <w:jc w:val="both"/>
      </w:pPr>
      <w:r>
        <w:t xml:space="preserve">завершується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Legal governance процес — періодичний перегляд шаблонів</w:t>
      </w:r>
    </w:p>
    <w:p>
      <w:pPr>
        <w:spacing w:after="180"/>
        <w:jc w:val="both"/>
      </w:pPr>
      <w:r>
        <w:t xml:space="preserve">договорів (раз на 6 місяців)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Онбординг субпідрядника (розробник)</dc:title>
  <dc:creator>Drafters</dc:creator>
  <dc:description>Exported from Drafters — Онбординг субпідрядника (розробник)</dc:description>
  <cp:lastModifiedBy>Un-named</cp:lastModifiedBy>
  <cp:revision>1</cp:revision>
  <dcterms:created xsi:type="dcterms:W3CDTF">2026-04-13T08:49:30.629Z</dcterms:created>
  <dcterms:modified xsi:type="dcterms:W3CDTF">2026-04-13T08:49:30.629Z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