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Marketing</w:t>
      </w:r>
    </w:p>
    <w:p>
      <w:pPr>
        <w:pStyle w:val="Heading1"/>
        <w:spacing w:after="160" w:before="280"/>
      </w:pPr>
      <w:r>
        <w:t xml:space="preserve">Договір субпідряду № \_\_\_\_\_\_\_\_\_\_\_</w:t>
      </w:r>
    </w:p>
    <w:p>
      <w:pPr>
        <w:spacing w:after="160"/>
        <w:jc w:val="both"/>
      </w:pPr>
      <w:r>
        <w:rPr>
          <w:b/>
          <w:bCs/>
        </w:rPr>
        <w:t xml:space="preserve">Start date:</w:t>
      </w:r>
      <w:r>
        <w:t xml:space="preserve">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\_</w:t>
      </w:r>
    </w:p>
    <w:p>
      <w:pPr>
        <w:spacing w:after="160"/>
        <w:jc w:val="both"/>
      </w:pPr>
      <w:r>
        <w:rPr>
          <w:b/>
          <w:bCs/>
        </w:rPr>
        <w:t xml:space="preserve">Контрактор:</w:t>
      </w:r>
      <w:r>
        <w:t xml:space="preserve"> </w:t>
      </w:r>
      <w:r>
        <w:rPr>
          <w:b/>
          <w:bCs/>
        </w:rPr>
        <w:t xml:space="preserve">Sloboda Software GMBH</w:t>
      </w:r>
      <w:r>
        <w:t xml:space="preserve">, юридична особа, зареєстрована відповідно до законодавства Федеративної Республіки Німеччина, Registry code </w:t>
      </w:r>
      <w:r>
        <w:rPr>
          <w:b/>
          <w:bCs/>
        </w:rPr>
        <w:t xml:space="preserve">HRB260696B</w:t>
      </w:r>
      <w:r>
        <w:t xml:space="preserve">, VAT ID </w:t>
      </w:r>
      <w:r>
        <w:rPr>
          <w:b/>
          <w:bCs/>
        </w:rPr>
        <w:t xml:space="preserve">DE366220301</w:t>
      </w:r>
      <w:r>
        <w:t xml:space="preserve">, з юридичною адресою: Am Märchenbrunnen 7, Berlin, 10407, Germany, в особі Директора Olga Iakubovska (надалі — "</w:t>
      </w:r>
      <w:r>
        <w:rPr>
          <w:b/>
          <w:bCs/>
        </w:rPr>
        <w:t xml:space="preserve">Контрактор</w:t>
      </w:r>
      <w:r>
        <w:t xml:space="preserve">").</w:t>
      </w:r>
    </w:p>
    <w:p>
      <w:pPr>
        <w:spacing w:after="160"/>
        <w:jc w:val="both"/>
      </w:pPr>
      <w:r>
        <w:rPr>
          <w:b/>
          <w:bCs/>
        </w:rPr>
        <w:t xml:space="preserve">Субпідрядник:</w:t>
      </w:r>
      <w:r>
        <w:t xml:space="preserve"> </w:t>
      </w:r>
      <w:r>
        <w:rPr>
          <w:b/>
          <w:bCs/>
        </w:rPr>
        <w:t xml:space="preserve">Private entrepreneur</w:t>
      </w:r>
      <w:r>
        <w:t xml:space="preserve">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\_.</w:t>
      </w:r>
    </w:p>
    <w:p>
      <w:pPr>
        <w:pStyle w:val="Heading2"/>
        <w:spacing w:after="160" w:before="280"/>
      </w:pPr>
      <w:r>
        <w:t xml:space="preserve">1. Key terms</w:t>
      </w:r>
    </w:p>
    <w:p>
      <w:pPr>
        <w:spacing w:after="160"/>
        <w:jc w:val="both"/>
      </w:pPr>
      <w:r>
        <w:t xml:space="preserve">| Параметр | Значення | | :---- | :---- | | </w:t>
      </w:r>
      <w:r>
        <w:rPr>
          <w:b/>
          <w:bCs/>
        </w:rPr>
        <w:t xml:space="preserve">Субпідрядні послуги</w:t>
      </w:r>
      <w:r>
        <w:t xml:space="preserve"> | Надання маркетингових та суміжних консультаційних послуг, включно з (але не обмежуючись) digital marketing, strategic marketing planning, campaign management, performance marketing (надалі — "</w:t>
      </w:r>
      <w:r>
        <w:rPr>
          <w:b/>
          <w:bCs/>
        </w:rPr>
        <w:t xml:space="preserve">Послуги</w:t>
      </w:r>
      <w:r>
        <w:t xml:space="preserve">") | | </w:t>
      </w:r>
      <w:r>
        <w:rPr>
          <w:b/>
          <w:bCs/>
        </w:rPr>
        <w:t xml:space="preserve">Порядок оплати</w:t>
      </w:r>
      <w:r>
        <w:t xml:space="preserve"> | Post-payment згідно з time-sheet, наданим Субпідрядником | | </w:t>
      </w:r>
      <w:r>
        <w:rPr>
          <w:b/>
          <w:bCs/>
        </w:rPr>
        <w:t xml:space="preserve">Інвойсинг</w:t>
      </w:r>
      <w:r>
        <w:t xml:space="preserve"> | Щомісячно. Контрактор зобов'язується сплатити протягом </w:t>
      </w:r>
      <w:r>
        <w:rPr>
          <w:b/>
          <w:bCs/>
        </w:rPr>
        <w:t xml:space="preserve">21 календарного дня</w:t>
      </w:r>
      <w:r>
        <w:t xml:space="preserve"> з дати інвойсу. | | </w:t>
      </w:r>
      <w:r>
        <w:rPr>
          <w:b/>
          <w:bCs/>
        </w:rPr>
        <w:t xml:space="preserve">Банківські перекази</w:t>
      </w:r>
      <w:r>
        <w:t xml:space="preserve"> | На банківський рахунок, зазначений в інвойсі. Кожна сторона покриває банківські комісії свого банку. | | </w:t>
      </w:r>
      <w:r>
        <w:rPr>
          <w:b/>
          <w:bCs/>
        </w:rPr>
        <w:t xml:space="preserve">Овертайм</w:t>
      </w:r>
      <w:r>
        <w:t xml:space="preserve"> | Тільки з письмового погодження Контрактора. | | </w:t>
      </w:r>
      <w:r>
        <w:rPr>
          <w:b/>
          <w:bCs/>
        </w:rPr>
        <w:t xml:space="preserve">Перегляд ставки</w:t>
      </w:r>
      <w:r>
        <w:t xml:space="preserve"> | Не частіше ніж раз на 12 місяців. Не більше </w:t>
      </w:r>
      <w:r>
        <w:rPr>
          <w:b/>
          <w:bCs/>
        </w:rPr>
        <w:t xml:space="preserve">10%</w:t>
      </w:r>
      <w:r>
        <w:t xml:space="preserve"> річних. |</w:t>
      </w:r>
    </w:p>
    <w:p>
      <w:pPr>
        <w:pStyle w:val="Heading2"/>
        <w:spacing w:after="160" w:before="280"/>
      </w:pPr>
      <w:r>
        <w:t xml:space="preserve">2. Платежі за послуги</w:t>
      </w:r>
    </w:p>
    <w:p>
      <w:pPr>
        <w:spacing w:after="160"/>
        <w:jc w:val="both"/>
      </w:pPr>
      <w:r>
        <w:rPr>
          <w:b/>
          <w:bCs/>
        </w:rPr>
        <w:t xml:space="preserve">Платіжний спір.</w:t>
      </w:r>
      <w:r>
        <w:t xml:space="preserve"> Якщо сума, що має бути сплачена, оспорюється добросовісно, Контрактор сплачує неоспорювану частину та надсилає повідомлення протягом </w:t>
      </w:r>
      <w:r>
        <w:rPr>
          <w:b/>
          <w:bCs/>
        </w:rPr>
        <w:t xml:space="preserve">5 робочих днів</w:t>
      </w:r>
      <w:r>
        <w:t xml:space="preserve"> із зазначенням підстав спору з розумним рівнем деталізації.</w:t>
      </w:r>
    </w:p>
    <w:p>
      <w:pPr>
        <w:spacing w:after="160"/>
        <w:jc w:val="both"/>
      </w:pPr>
      <w:r>
        <w:t xml:space="preserve">Платежі, які не оспорено Контрактором протягом 5 робочих днів з моменту отримання, вважаються прийнятими.</w:t>
      </w:r>
    </w:p>
    <w:p>
      <w:pPr>
        <w:pStyle w:val="Heading2"/>
        <w:spacing w:after="160" w:before="280"/>
      </w:pPr>
      <w:r>
        <w:t xml:space="preserve">3. Non-solicitation</w:t>
      </w:r>
    </w:p>
    <w:p>
      <w:pPr>
        <w:spacing w:after="16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6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spacing w:after="160" w:before="280"/>
      </w:pPr>
      <w:r>
        <w:t xml:space="preserve">4. Non-compete</w:t>
      </w:r>
    </w:p>
    <w:p>
      <w:pPr>
        <w:spacing w:after="16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spacing w:after="160" w:before="280"/>
      </w:pPr>
      <w:r>
        <w:t xml:space="preserve">5. Deliverables and Intellectual Property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6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spacing w:after="160" w:before="280"/>
      </w:pPr>
      <w:r>
        <w:t xml:space="preserve">Коли використовувати</w:t>
      </w:r>
    </w:p>
    <w:p>
      <w:pPr>
        <w:spacing w:after="16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spacing w:after="160" w:before="280"/>
      </w:pPr>
      <w:r>
        <w:t xml:space="preserve">Чим відрізняється від IP Assignment (dev)</w:t>
      </w:r>
    </w:p>
    <w:p>
      <w:pPr>
        <w:spacing w:after="16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spacing w:after="160" w:before="28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60"/>
        <w:jc w:val="both"/>
      </w:pPr>
      <w:r>
        <w:t xml:space="preserve">без ліцензії (фотобанки, шрифти, музика тощо)</w:t>
      </w:r>
    </w:p>
    <w:p>
      <w:pPr>
        <w:pStyle w:val="Heading2"/>
        <w:spacing w:after="160" w:before="280"/>
      </w:pPr>
      <w:r>
        <w:t xml:space="preserve">6. Publicity</w:t>
      </w:r>
    </w:p>
    <w:p>
      <w:pPr>
        <w:spacing w:after="160"/>
        <w:jc w:val="both"/>
      </w:pPr>
      <w:r>
        <w:t xml:space="preserve">Субпідрядник має право згадувати факт надання Послуг Контрактору на власному вебсайті виключно з маркетинговою метою.</w:t>
      </w:r>
    </w:p>
    <w:p>
      <w:pPr>
        <w:pStyle w:val="Heading2"/>
        <w:spacing w:after="160" w:before="280"/>
      </w:pPr>
      <w:r>
        <w:t xml:space="preserve">7. Term and Termination</w:t>
      </w:r>
    </w:p>
    <w:p>
      <w:pPr>
        <w:spacing w:after="160"/>
        <w:jc w:val="both"/>
      </w:pPr>
      <w:r>
        <w:rPr>
          <w:b/>
          <w:bCs/>
        </w:rPr>
        <w:t xml:space="preserve">Term.</w:t>
      </w:r>
      <w:r>
        <w:t xml:space="preserve"> Цей договір набуває чинності від Start date і діє до розірвання однією зі сторін відповідно до умов нижче.</w:t>
      </w:r>
    </w:p>
    <w:p>
      <w:pPr>
        <w:spacing w:after="160"/>
        <w:jc w:val="both"/>
      </w:pPr>
      <w:r>
        <w:rPr>
          <w:b/>
          <w:bCs/>
        </w:rPr>
        <w:t xml:space="preserve">Termination Контрактором (перші 3 місяці).</w:t>
      </w:r>
      <w:r>
        <w:t xml:space="preserve"> Протягом перших </w:t>
      </w:r>
      <w:r>
        <w:rPr>
          <w:b/>
          <w:bCs/>
        </w:rPr>
        <w:t xml:space="preserve">трьох (3) місяців</w:t>
      </w:r>
      <w:r>
        <w:t xml:space="preserve"> від Start date,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1-денне</w:t>
      </w:r>
      <w:r>
        <w:t xml:space="preserve"> письмове попередження.</w:t>
      </w:r>
    </w:p>
    <w:p>
      <w:pPr>
        <w:spacing w:after="160"/>
        <w:jc w:val="both"/>
      </w:pPr>
      <w:r>
        <w:rPr>
          <w:b/>
          <w:bCs/>
        </w:rPr>
        <w:t xml:space="preserve">Termination Контрактором (після 3 місяців).</w:t>
      </w:r>
      <w:r>
        <w:t xml:space="preserve"> Після початкового тримісячного періоду, Контрактор може розірвати цей договір у будь-який час, надавши Субпідряднику </w:t>
      </w:r>
      <w:r>
        <w:rPr>
          <w:b/>
          <w:bCs/>
        </w:rPr>
        <w:t xml:space="preserve">14-денне</w:t>
      </w:r>
      <w:r>
        <w:t xml:space="preserve"> письмове попередження.</w:t>
      </w:r>
    </w:p>
    <w:p>
      <w:pPr>
        <w:spacing w:after="160"/>
        <w:jc w:val="both"/>
      </w:pPr>
      <w:r>
        <w:rPr>
          <w:b/>
          <w:bCs/>
        </w:rPr>
        <w:t xml:space="preserve">Termination Субпідрядником.</w:t>
      </w:r>
      <w:r>
        <w:t xml:space="preserve"> Субпідрядник може розірвати цей договір у будь-який час, надавши Контрактору </w:t>
      </w:r>
      <w:r>
        <w:rPr>
          <w:b/>
          <w:bCs/>
        </w:rPr>
        <w:t xml:space="preserve">14-денне</w:t>
      </w:r>
      <w:r>
        <w:t xml:space="preserve"> письмове попередження, незалежно від тривалості договору.</w:t>
      </w:r>
    </w:p>
    <w:p>
      <w:pPr>
        <w:pStyle w:val="Heading2"/>
        <w:spacing w:after="160" w:before="280"/>
      </w:pPr>
      <w:r>
        <w:t xml:space="preserve">8. Limitation of Liability and Indemnification</w:t>
      </w:r>
    </w:p>
    <w:p>
      <w:pPr>
        <w:spacing w:after="16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60"/>
        <w:jc w:val="both"/>
      </w:pPr>
      <w:r>
        <w:t xml:space="preserve">відшкодовуваною стороною; та - умисних порушень або грубої недбалості сторони, що відшкодовує.</w:t>
      </w:r>
    </w:p>
    <w:p>
      <w:pPr>
        <w:spacing w:after="16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6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spacing w:after="160" w:before="280"/>
      </w:pPr>
      <w:r>
        <w:t xml:space="preserve">9. Effect of Termination</w:t>
      </w:r>
    </w:p>
    <w:p>
      <w:pPr>
        <w:spacing w:after="160"/>
        <w:jc w:val="both"/>
      </w:pPr>
      <w:r>
        <w:rPr>
          <w:b/>
          <w:bCs/>
        </w:rPr>
        <w:t xml:space="preserve">Платіжні зобов'язання.</w:t>
      </w:r>
      <w:r>
        <w:t xml:space="preserve"> При закінченні або розірванні цього договору кожна сторона зобов'язується сплатити всі суми, які вона винна іншій стороні, включно з платіжними зобов'язаннями за вже надані Послуги, або повернути всі платежі, отримані, але ще не зароблені, включно з платежами за Послуги, що не були надані.</w:t>
      </w:r>
    </w:p>
    <w:p>
      <w:pPr>
        <w:spacing w:after="160"/>
        <w:jc w:val="both"/>
      </w:pPr>
      <w:r>
        <w:rPr>
          <w:b/>
          <w:bCs/>
        </w:rPr>
        <w:t xml:space="preserve">Зобов'язання виконавця.</w:t>
      </w:r>
      <w:r>
        <w:t xml:space="preserve"> При отриманні повідомлення про таке розірвання, виконавець (Субпідрядник або Контрактор, залежно від типу договору) зобов'язується негайно припинити всі Послуги, що виконуються, повідомити замовнику про ступінь, у якому виконання було завершено, та передати замовнику всі Deliverables, створені під час надання Послуг.</w:t>
      </w:r>
    </w:p>
    <w:p>
      <w:pPr>
        <w:spacing w:after="160"/>
        <w:jc w:val="both"/>
      </w:pPr>
      <w:r>
        <w:rPr>
          <w:b/>
          <w:bCs/>
        </w:rPr>
        <w:t xml:space="preserve">Survival.</w:t>
      </w:r>
      <w:r>
        <w:t xml:space="preserve"> Після розірвання цього договору, зобов'язання Сторін щодо </w:t>
      </w:r>
      <w:r>
        <w:rPr>
          <w:b/>
          <w:bCs/>
        </w:rPr>
        <w:t xml:space="preserve">інтелектуальної власності, конфіденційності, non-solicitation та non-compete</w:t>
      </w:r>
      <w:r>
        <w:t xml:space="preserve"> зберігаються в силі.</w:t>
      </w:r>
    </w:p>
    <w:p>
      <w:pPr>
        <w:pStyle w:val="Heading2"/>
        <w:spacing w:after="160" w:before="280"/>
      </w:pPr>
      <w:r>
        <w:t xml:space="preserve">Три роздільних обов'язки</w:t>
      </w:r>
    </w:p>
    <w:p>
      <w:pPr>
        <w:spacing w:after="160"/>
        <w:jc w:val="both"/>
      </w:pPr>
      <w:r>
        <w:t xml:space="preserve">Цей пункт розбивається на три незалежні зобов'язання:</w:t>
      </w:r>
    </w:p>
    <w:p>
      <w:pPr>
        <w:pStyle w:val="Heading3"/>
        <w:spacing w:after="160" w:before="280"/>
      </w:pPr>
      <w:r>
        <w:t xml:space="preserve">1. Розрахунки (Payment Obligations)</w:t>
      </w:r>
    </w:p>
    <w:p>
      <w:pPr>
        <w:spacing w:after="160"/>
        <w:jc w:val="both"/>
      </w:pPr>
      <w:r>
        <w:t xml:space="preserve">"Хто винен — той платить. Хто отримав зайве — повертає." Симетричне правило, яке працює в обидва боки: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Наш борг</w:t>
      </w:r>
      <w:r>
        <w:t xml:space="preserve"> — якщо ми не сплатили за роботу, зроблену до</w:t>
      </w:r>
    </w:p>
    <w:p>
      <w:pPr>
        <w:spacing w:after="160"/>
        <w:jc w:val="both"/>
      </w:pPr>
      <w:r>
        <w:t xml:space="preserve">дати розірвання, ми зобов'язані доплатити. - </w:t>
      </w:r>
      <w:r>
        <w:rPr>
          <w:b/>
          <w:bCs/>
        </w:rPr>
        <w:t xml:space="preserve">Їхній борг</w:t>
      </w:r>
      <w:r>
        <w:t xml:space="preserve"> — якщо ми передплатили за роботу, яку ще не зроблено, вони повертають гроші (або залік у майбутні проекти за обопільною згодою).</w:t>
      </w:r>
    </w:p>
    <w:p>
      <w:pPr>
        <w:pStyle w:val="Heading3"/>
        <w:spacing w:after="160" w:before="280"/>
      </w:pPr>
      <w:r>
        <w:t xml:space="preserve">2. Handover (Subcontractor obligations)</w:t>
      </w:r>
    </w:p>
    <w:p>
      <w:pPr>
        <w:spacing w:after="160"/>
        <w:jc w:val="both"/>
      </w:pPr>
      <w:r>
        <w:t xml:space="preserve">Негайне припинення + звіт про стан + передача. Три дії, які мають статися у день отримання notice: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Припинення</w:t>
      </w:r>
      <w:r>
        <w:t xml:space="preserve"> — subcontractor не починає нових завдань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Звіт</w:t>
      </w:r>
      <w:r>
        <w:t xml:space="preserve"> — що зроблено, що в роботі, що не почато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Передача</w:t>
      </w:r>
      <w:r>
        <w:t xml:space="preserve"> — всі результати роботи (код, документи, доступи)</w:t>
      </w:r>
    </w:p>
    <w:p>
      <w:pPr>
        <w:spacing w:after="160"/>
        <w:jc w:val="both"/>
      </w:pPr>
      <w:r>
        <w:t xml:space="preserve">переходять до замовника</w:t>
      </w:r>
    </w:p>
    <w:p>
      <w:pPr>
        <w:spacing w:after="160"/>
        <w:jc w:val="both"/>
      </w:pPr>
      <w:r>
        <w:t xml:space="preserve">Якщо subcontractor ігнорує цей пункт, ми маємо юридичну підставу вимагати його виконання і утримати фінальний платіж до handover-у.</w:t>
      </w:r>
    </w:p>
    <w:p>
      <w:pPr>
        <w:pStyle w:val="Heading3"/>
        <w:spacing w:after="160" w:before="280"/>
      </w:pPr>
      <w:r>
        <w:t xml:space="preserve">3. Survival</w:t>
      </w:r>
    </w:p>
    <w:p>
      <w:pPr>
        <w:spacing w:after="160"/>
        <w:jc w:val="both"/>
      </w:pPr>
      <w:r>
        <w:t xml:space="preserve">Що залишається в силі після припинення договору: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IP</w:t>
      </w:r>
      <w:r>
        <w:t xml:space="preserve"> — права на вже передані Deliverables залишаються у замовника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Confidentiality</w:t>
      </w:r>
      <w:r>
        <w:t xml:space="preserve"> — все, що було розкрито, залишається confidential</w:t>
      </w:r>
    </w:p>
    <w:p>
      <w:pPr>
        <w:spacing w:after="160"/>
        <w:jc w:val="both"/>
      </w:pPr>
      <w:r>
        <w:t xml:space="preserve">(терміни з Mutual Confidentiality) - </w:t>
      </w:r>
      <w:r>
        <w:rPr>
          <w:b/>
          <w:bCs/>
        </w:rPr>
        <w:t xml:space="preserve">Non-solicitation</w:t>
      </w:r>
      <w:r>
        <w:t xml:space="preserve"> — 1 рік у субпідрядних договорах починається з Start date, не від termination - </w:t>
      </w:r>
      <w:r>
        <w:rPr>
          <w:b/>
          <w:bCs/>
        </w:rPr>
        <w:t xml:space="preserve">Non-compete</w:t>
      </w:r>
      <w:r>
        <w:t xml:space="preserve"> — те саме</w:t>
      </w:r>
    </w:p>
    <w:p>
      <w:pPr>
        <w:spacing w:after="160"/>
        <w:jc w:val="both"/>
      </w:pPr>
      <w:r>
        <w:t xml:space="preserve">Survival — це ключовий механізм, який робить розірвання "чистим": якщо ти вийшов, ти не забрав з собою ні IP, ні клієнтів, ні конфіденційну інформацію, ні право переманювати людей.</w:t>
      </w:r>
    </w:p>
    <w:p>
      <w:pPr>
        <w:pStyle w:val="Heading2"/>
        <w:spacing w:after="160" w:before="280"/>
      </w:pPr>
      <w:r>
        <w:t xml:space="preserve">10. Dispute Resolution</w:t>
      </w:r>
    </w:p>
    <w:p>
      <w:pPr>
        <w:spacing w:after="160"/>
        <w:jc w:val="both"/>
      </w:pPr>
      <w:r>
        <w:rPr>
          <w:b/>
          <w:bCs/>
        </w:rPr>
        <w:t xml:space="preserve">Переговори.</w:t>
      </w:r>
      <w:r>
        <w:t xml:space="preserve"> У випадку будь-якого спору або претензії, що виникають з цього договору, сторони зобов'язуються консультуватися та вести переговори одна з одною з метою досягнення взаємоприйнятного рішення.</w:t>
      </w:r>
    </w:p>
    <w:p>
      <w:pPr>
        <w:spacing w:after="160"/>
        <w:jc w:val="both"/>
      </w:pPr>
      <w:r>
        <w:rPr>
          <w:b/>
          <w:bCs/>
        </w:rPr>
        <w:t xml:space="preserve">Вибір форуму.</w:t>
      </w:r>
      <w:r>
        <w:t xml:space="preserve"> Якщо сторони не досягають згоди протягом </w:t>
      </w:r>
      <w:r>
        <w:rPr>
          <w:b/>
          <w:bCs/>
        </w:rPr>
        <w:t xml:space="preserve">60 днів</w:t>
      </w:r>
      <w:r>
        <w:t xml:space="preserve">, будь-який невирішений спір або претензія підлягає розгляду в </w:t>
      </w:r>
      <w:r>
        <w:rPr>
          <w:b/>
          <w:bCs/>
        </w:rPr>
        <w:t xml:space="preserve">судах Англії та Уельсу</w:t>
      </w:r>
      <w:r>
        <w:t xml:space="preserve">.</w:t>
      </w:r>
    </w:p>
    <w:p>
      <w:pPr>
        <w:pStyle w:val="Heading2"/>
        <w:spacing w:after="160" w:before="280"/>
      </w:pPr>
      <w:r>
        <w:t xml:space="preserve">11. Підписи</w:t>
      </w:r>
    </w:p>
    <w:p>
      <w:pPr>
        <w:spacing w:after="160"/>
        <w:jc w:val="both"/>
      </w:pPr>
      <w:r>
        <w:t xml:space="preserve">| </w:t>
      </w:r>
      <w:r>
        <w:rPr>
          <w:b/>
          <w:bCs/>
        </w:rPr>
        <w:t xml:space="preserve">Sloboda Software GMBH</w:t>
      </w:r>
      <w:r>
        <w:t xml:space="preserve"> | </w:t>
      </w:r>
      <w:r>
        <w:rPr>
          <w:b/>
          <w:bCs/>
        </w:rPr>
        <w:t xml:space="preserve">Private entrepreneur</w:t>
      </w:r>
      <w:r>
        <w:t xml:space="preserve"> | | :---- | :---- | | Registry code: HRB260696B | Company ID: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 | | Jurisdiction: Germany | Jurisdiction: 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 | | Address: Am Märchenbrunnen 7, Berlin, 10407, Germany | Address: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 | | VAT ID: DE366220301 | Bank: 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 / Account: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 / SWIFT: 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 | |  |  | | </w:t>
      </w:r>
      <w:r>
        <w:rPr>
          <w:b/>
          <w:bCs/>
        </w:rPr>
        <w:t xml:space="preserve">Signature:</w:t>
      </w:r>
      <w:r>
        <w:t xml:space="preserve">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 | **Signature:** 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 | | </w:t>
      </w:r>
      <w:r>
        <w:rPr>
          <w:b/>
          <w:bCs/>
        </w:rPr>
        <w:t xml:space="preserve">Olga Iakubovska, Director</w:t>
      </w:r>
      <w:r>
        <w:t xml:space="preserve"> |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\_ |</w:t>
      </w:r>
    </w:p>
    <w:p>
      <w:pPr>
        <w:pStyle w:val="Heading2"/>
        <w:spacing w:after="160" w:before="280"/>
      </w:pPr>
      <w:r>
        <w:t xml:space="preserve">Attachment A — Rate Sheet</w:t>
      </w:r>
    </w:p>
    <w:p>
      <w:pPr>
        <w:spacing w:after="160"/>
        <w:jc w:val="both"/>
      </w:pPr>
      <w:r>
        <w:t xml:space="preserve">До Договору субпідряду №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, укладеного 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.</w:t>
      </w:r>
    </w:p>
    <w:p>
      <w:pPr>
        <w:spacing w:after="160"/>
        <w:jc w:val="both"/>
      </w:pPr>
      <w:r>
        <w:t xml:space="preserve">| Роль | Ставка, EUR (€)/година | | :---- | :---- | | Digital Marketing Specialist | 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</w:t>
      </w:r>
      <w:r>
        <w:rPr>
          <w:i/>
          <w:iCs/>
        </w:rPr>
        <w:t xml:space="preserve">\</w:t>
      </w:r>
      <w:r>
        <w:t xml:space="preserve">\_ | |  |  | |  |  |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Marketing</dc:title>
  <dc:creator>Drafters</dc:creator>
  <dc:description>Exported from Drafters — Договір субпідряду — Marketing</dc:description>
  <cp:lastModifiedBy>Un-named</cp:lastModifiedBy>
  <cp:revision>1</cp:revision>
  <dcterms:created xsi:type="dcterms:W3CDTF">2026-04-09T21:51:24.658Z</dcterms:created>
  <dcterms:modified xsi:type="dcterms:W3CDTF">2026-04-09T21:51:24.658Z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