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Договір субпідряду — Project Manager</w:t>
      </w:r>
    </w:p>
    <w:p>
      <w:pPr>
        <w:pStyle w:val="Heading1"/>
        <w:spacing w:after="160" w:before="280"/>
      </w:pPr>
      <w:r>
        <w:t xml:space="preserve">Subcontractor Agreement</w:t>
      </w:r>
    </w:p>
    <w:p>
      <w:pPr>
        <w:spacing w:after="160"/>
        <w:jc w:val="both"/>
      </w:pPr>
      <w:r>
        <w:rPr>
          <w:b/>
          <w:bCs/>
        </w:rPr>
        <w:t xml:space="preserve">Date: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HRB260696B</w:t>
      </w:r>
      <w:r>
        <w:t xml:space="preserve">, VAT ID </w:t>
      </w:r>
      <w:r>
        <w:rPr>
          <w:b/>
          <w:bCs/>
        </w:rPr>
        <w:t xml:space="preserve">DE366220301</w:t>
      </w:r>
      <w:r>
        <w:t xml:space="preserve">, with its registered address at Am Märchenbrunnen 7, Berlin, 10407, Germany, represented by its Director Olga Iakubovska (hereinafter the "</w:t>
      </w:r>
      <w:r>
        <w:rPr>
          <w:b/>
          <w:bCs/>
        </w:rPr>
        <w:t xml:space="preserve">Contractor</w:t>
      </w:r>
      <w:r>
        <w:t xml:space="preserve">").</w:t>
      </w:r>
    </w:p>
    <w:p>
      <w:pPr>
        <w:spacing w:after="160"/>
        <w:jc w:val="both"/>
      </w:pPr>
      <w:r>
        <w:rPr>
          <w:b/>
          <w:bCs/>
        </w:rPr>
        <w:t xml:space="preserve">Subcontractor:</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with address: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registration number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 (hereinafter the "</w:t>
      </w:r>
      <w:r>
        <w:rPr>
          <w:b/>
          <w:bCs/>
        </w:rPr>
        <w:t xml:space="preserve">Subcontractor</w:t>
      </w:r>
      <w:r>
        <w:t xml:space="preserve">").</w:t>
      </w:r>
    </w:p>
    <w:p>
      <w:pPr>
        <w:pStyle w:val="Heading2"/>
        <w:spacing w:after="160" w:before="280"/>
      </w:pPr>
      <w:r>
        <w:t xml:space="preserve">1. Key Terms</w:t>
      </w:r>
    </w:p>
    <w:p>
      <w:pPr>
        <w:spacing w:after="160"/>
        <w:jc w:val="both"/>
      </w:pPr>
      <w:r>
        <w:t xml:space="preserve">| Parameter | Value | | :---- | :---- | | </w:t>
      </w:r>
      <w:r>
        <w:rPr>
          <w:b/>
          <w:bCs/>
        </w:rPr>
        <w:t xml:space="preserve">Subcontractor Services</w:t>
      </w:r>
      <w:r>
        <w:t xml:space="preserve"> | </w:t>
      </w:r>
      <w:r>
        <w:rPr>
          <w:b/>
          <w:bCs/>
        </w:rPr>
        <w:t xml:space="preserve">Project management and IT consulting</w:t>
      </w:r>
      <w:r>
        <w:t xml:space="preserve"> (hereinafter the "</w:t>
      </w:r>
      <w:r>
        <w:rPr>
          <w:b/>
          <w:bCs/>
        </w:rPr>
        <w:t xml:space="preserve">Services</w:t>
      </w:r>
      <w:r>
        <w:t xml:space="preserve">") | | </w:t>
      </w:r>
      <w:r>
        <w:rPr>
          <w:b/>
          <w:bCs/>
        </w:rPr>
        <w:t xml:space="preserve">Payments for Services</w:t>
      </w:r>
      <w:r>
        <w:t xml:space="preserve"> | Post-payment according to the time-sheet submitted by the Subcontractor. | | </w:t>
      </w:r>
      <w:r>
        <w:rPr>
          <w:b/>
          <w:bCs/>
        </w:rPr>
        <w:t xml:space="preserve">Invoicing</w:t>
      </w:r>
      <w:r>
        <w:t xml:space="preserve"> | Every month. The Contractor must pay within </w:t>
      </w:r>
      <w:r>
        <w:rPr>
          <w:b/>
          <w:bCs/>
        </w:rPr>
        <w:t xml:space="preserve">21 calendar days</w:t>
      </w:r>
      <w:r>
        <w:t xml:space="preserve"> from the invoice date. | | </w:t>
      </w:r>
      <w:r>
        <w:rPr>
          <w:b/>
          <w:bCs/>
        </w:rPr>
        <w:t xml:space="preserve">Payment transfers</w:t>
      </w:r>
      <w:r>
        <w:t xml:space="preserve"> | To the banking account specified in the invoice. Each party covers their own bank charges. | | </w:t>
      </w:r>
      <w:r>
        <w:rPr>
          <w:b/>
          <w:bCs/>
        </w:rPr>
        <w:t xml:space="preserve">Overtime</w:t>
      </w:r>
      <w:r>
        <w:t xml:space="preserve"> | Only with the Contractor's written approval. | | </w:t>
      </w:r>
      <w:r>
        <w:rPr>
          <w:b/>
          <w:bCs/>
        </w:rPr>
        <w:t xml:space="preserve">Rate increase</w:t>
      </w:r>
      <w:r>
        <w:t xml:space="preserve"> | No more than once every 12 months. Not more than </w:t>
      </w:r>
      <w:r>
        <w:rPr>
          <w:b/>
          <w:bCs/>
        </w:rPr>
        <w:t xml:space="preserve">10%</w:t>
      </w:r>
      <w:r>
        <w:t xml:space="preserve"> annually. |</w:t>
      </w:r>
    </w:p>
    <w:p>
      <w:pPr>
        <w:pStyle w:val="Heading2"/>
        <w:spacing w:after="160" w:before="280"/>
      </w:pPr>
      <w:r>
        <w:t xml:space="preserve">2. Payments for Services</w:t>
      </w:r>
    </w:p>
    <w:p>
      <w:pPr>
        <w:spacing w:after="16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60"/>
        <w:jc w:val="both"/>
      </w:pPr>
      <w:r>
        <w:t xml:space="preserve">Payments that are undisputed by the Contractor within 5 business days of receipt are considered accepted.</w:t>
      </w:r>
    </w:p>
    <w:p>
      <w:pPr>
        <w:pStyle w:val="Heading2"/>
        <w:spacing w:after="160" w:before="280"/>
      </w:pPr>
      <w:r>
        <w:t xml:space="preserve">3. Non-solicitation</w:t>
      </w:r>
    </w:p>
    <w:p>
      <w:pPr>
        <w:spacing w:after="16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6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spacing w:after="160" w:before="280"/>
      </w:pPr>
      <w:r>
        <w:t xml:space="preserve">4. Non-compete</w:t>
      </w:r>
    </w:p>
    <w:p>
      <w:pPr>
        <w:spacing w:after="16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spacing w:after="160" w:before="280"/>
      </w:pPr>
      <w:r>
        <w:t xml:space="preserve">5. Deliverables and Intellectual Property</w:t>
      </w:r>
    </w:p>
    <w:p>
      <w:pPr>
        <w:spacing w:after="160"/>
        <w:jc w:val="both"/>
      </w:pPr>
      <w:r>
        <w:rPr>
          <w:b/>
          <w:bCs/>
        </w:rPr>
        <w:t xml:space="preserve">Final Works.</w:t>
      </w:r>
      <w:r>
        <w:t xml:space="preserve"> The Subcontractor transfers to the Contractor </w:t>
      </w:r>
      <w:r>
        <w:rPr>
          <w:b/>
          <w:bCs/>
        </w:rPr>
        <w:t xml:space="preserve">all intellectual property rights</w:t>
      </w:r>
      <w:r>
        <w:t xml:space="preserve"> in all materials, documentation, and outputs provided to the Contractor through the performance of Services (Deliverables) — </w:t>
      </w:r>
      <w:r>
        <w:rPr>
          <w:b/>
          <w:bCs/>
        </w:rPr>
        <w:t xml:space="preserve">exclusively after full payment</w:t>
      </w:r>
      <w:r>
        <w:t xml:space="preserve"> of all fees and costs.</w:t>
      </w:r>
    </w:p>
    <w:p>
      <w:pPr>
        <w:spacing w:after="160"/>
        <w:jc w:val="both"/>
      </w:pPr>
      <w:r>
        <w:rPr>
          <w:b/>
          <w:bCs/>
        </w:rPr>
        <w:t xml:space="preserve">Open-source code.</w:t>
      </w:r>
      <w:r>
        <w:t xml:space="preserve"> The Subcontractor warrants that it has not included or used, and will not include or use, any Open-Source Software in the Deliverables without the written consent of the Contractor.</w:t>
      </w:r>
    </w:p>
    <w:p>
      <w:pPr>
        <w:pStyle w:val="Heading2"/>
        <w:spacing w:after="160" w:before="280"/>
      </w:pPr>
      <w:r>
        <w:t xml:space="preserve">6. Publicity</w:t>
      </w:r>
    </w:p>
    <w:p>
      <w:pPr>
        <w:spacing w:after="160"/>
        <w:jc w:val="both"/>
      </w:pPr>
      <w:r>
        <w:t xml:space="preserve">The Subcontractor may mention the fact of Services provided to the Contractor on its own website solely for marketing purposes.</w:t>
      </w:r>
    </w:p>
    <w:p>
      <w:pPr>
        <w:pStyle w:val="Heading2"/>
        <w:spacing w:after="160" w:before="280"/>
      </w:pPr>
      <w:r>
        <w:t xml:space="preserve">7. Term and Termination</w:t>
      </w:r>
    </w:p>
    <w:p>
      <w:pPr>
        <w:spacing w:after="160"/>
        <w:jc w:val="both"/>
      </w:pPr>
      <w:r>
        <w:rPr>
          <w:b/>
          <w:bCs/>
        </w:rPr>
        <w:t xml:space="preserve">Term.</w:t>
      </w:r>
      <w:r>
        <w:t xml:space="preserve"> This agreement takes effect on the Start date and continues until terminated by either party in accordance with the terms below.</w:t>
      </w:r>
    </w:p>
    <w:p>
      <w:pPr>
        <w:spacing w:after="16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6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6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spacing w:after="160" w:before="280"/>
      </w:pPr>
      <w:r>
        <w:t xml:space="preserve">8. Limitation of Liability and Indemnification</w:t>
      </w:r>
    </w:p>
    <w:p>
      <w:pPr>
        <w:spacing w:after="16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60"/>
        <w:jc w:val="both"/>
      </w:pPr>
      <w:r>
        <w:t xml:space="preserve">indemnified party; and - the indemnifying party's wilful misconduct or gross negligence.</w:t>
      </w:r>
    </w:p>
    <w:p>
      <w:pPr>
        <w:spacing w:after="16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6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spacing w:after="160" w:before="280"/>
      </w:pPr>
      <w:r>
        <w:t xml:space="preserve">9. Effect of Termination</w:t>
      </w:r>
    </w:p>
    <w:p>
      <w:pPr>
        <w:spacing w:after="16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6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6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spacing w:after="160" w:before="280"/>
      </w:pPr>
      <w:r>
        <w:t xml:space="preserve">Three separate obligations</w:t>
      </w:r>
    </w:p>
    <w:p>
      <w:pPr>
        <w:spacing w:after="160"/>
        <w:jc w:val="both"/>
      </w:pPr>
      <w:r>
        <w:t xml:space="preserve">This clause breaks into three independent duties:</w:t>
      </w:r>
    </w:p>
    <w:p>
      <w:pPr>
        <w:pStyle w:val="Heading3"/>
        <w:spacing w:after="160" w:before="280"/>
      </w:pPr>
      <w:r>
        <w:t xml:space="preserve">1. Settlement (Payment Obligations)</w:t>
      </w:r>
    </w:p>
    <w:p>
      <w:pPr>
        <w:spacing w:after="16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60"/>
        <w:jc w:val="both"/>
      </w:pPr>
      <w:r>
        <w:t xml:space="preserve">termination, we must settle. - </w:t>
      </w:r>
      <w:r>
        <w:rPr>
          <w:b/>
          <w:bCs/>
        </w:rPr>
        <w:t xml:space="preserve">Their debt</w:t>
      </w:r>
      <w:r>
        <w:t xml:space="preserve"> — if we pre-paid for work not yet done, they refund (or we agree to credit against future projects).</w:t>
      </w:r>
    </w:p>
    <w:p>
      <w:pPr>
        <w:pStyle w:val="Heading3"/>
        <w:spacing w:after="160" w:before="280"/>
      </w:pPr>
      <w:r>
        <w:t xml:space="preserve">2. Handover (Performer obligations)</w:t>
      </w:r>
    </w:p>
    <w:p>
      <w:pPr>
        <w:spacing w:after="16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60"/>
        <w:jc w:val="both"/>
      </w:pPr>
      <w:r>
        <w:t xml:space="preserve">to the principal</w:t>
      </w:r>
    </w:p>
    <w:p>
      <w:pPr>
        <w:spacing w:after="160"/>
        <w:jc w:val="both"/>
      </w:pPr>
      <w:r>
        <w:t xml:space="preserve">If the performer ignores this clause, we have legal grounds to demand performance and to withhold the final payment until handover is complete.</w:t>
      </w:r>
    </w:p>
    <w:p>
      <w:pPr>
        <w:pStyle w:val="Heading3"/>
        <w:spacing w:after="160" w:before="280"/>
      </w:pPr>
      <w:r>
        <w:t xml:space="preserve">3. Survival</w:t>
      </w:r>
    </w:p>
    <w:p>
      <w:pPr>
        <w:spacing w:after="16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60"/>
        <w:jc w:val="both"/>
      </w:pPr>
      <w:r>
        <w:t xml:space="preserve">principal - </w:t>
      </w:r>
      <w:r>
        <w:rPr>
          <w:b/>
          <w:bCs/>
        </w:rPr>
        <w:t xml:space="preserve">Confidentiality</w:t>
      </w:r>
      <w:r>
        <w:t xml:space="preserve"> — anything disclosed remains confidential (per Mutual Confidentiality terms) - </w:t>
      </w:r>
      <w:r>
        <w:rPr>
          <w:b/>
          <w:bCs/>
        </w:rPr>
        <w:t xml:space="preserve">Non-solicitation</w:t>
      </w:r>
      <w:r>
        <w:t xml:space="preserve"> — 1 year in subcontracts runs from Start date, not from termination - </w:t>
      </w:r>
      <w:r>
        <w:rPr>
          <w:b/>
          <w:bCs/>
        </w:rPr>
        <w:t xml:space="preserve">Non-compete</w:t>
      </w:r>
      <w:r>
        <w:t xml:space="preserve"> — same</w:t>
      </w:r>
    </w:p>
    <w:p>
      <w:pPr>
        <w:spacing w:after="160"/>
        <w:jc w:val="both"/>
      </w:pPr>
      <w:r>
        <w:t xml:space="preserve">Survival is the key mechanism that makes a clean termination possible: if you exit, you don't walk away with the IP, clients, confidential information, or the right to poach.</w:t>
      </w:r>
    </w:p>
    <w:p>
      <w:pPr>
        <w:pStyle w:val="Heading2"/>
        <w:spacing w:after="160" w:before="280"/>
      </w:pPr>
      <w:r>
        <w:t xml:space="preserve">10. Dispute Resolution</w:t>
      </w:r>
    </w:p>
    <w:p>
      <w:pPr>
        <w:spacing w:after="16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6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spacing w:after="160" w:before="280"/>
      </w:pPr>
      <w:r>
        <w:t xml:space="preserve">11. Signatures</w:t>
      </w:r>
    </w:p>
    <w:p>
      <w:pPr>
        <w:spacing w:after="160"/>
        <w:jc w:val="both"/>
      </w:pPr>
      <w:r>
        <w:t xml:space="preserve">| </w:t>
      </w:r>
      <w:r>
        <w:rPr>
          <w:b/>
          <w:bCs/>
        </w:rPr>
        <w:t xml:space="preserve">Sloboda Software GMBH</w:t>
      </w:r>
      <w:r>
        <w:t xml:space="preserve"> | </w:t>
      </w:r>
      <w:r>
        <w:rPr>
          <w:b/>
          <w:bCs/>
        </w:rPr>
        <w:t xml:space="preserve">Subcontractor</w:t>
      </w:r>
      <w:r>
        <w:t xml:space="preserve"> | | :---- | :---- | | Registry code: HRB260696B | Company ID: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Jurisdiction: Germany | Jurisdiction: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Address: Am Märchenbrunnen 7, Berlin, 10407, Germany | Address: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VAT ID: DE366220301 | VAT ID: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  | | </w:t>
      </w:r>
      <w:r>
        <w:rPr>
          <w:b/>
          <w:bCs/>
        </w:rPr>
        <w:t xml:space="preserve">Signature: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**Signature:**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w:t>
      </w:r>
      <w:r>
        <w:rPr>
          <w:b/>
          <w:bCs/>
        </w:rPr>
        <w:t xml:space="preserve">Olga Iakubovska, Director</w:t>
      </w:r>
      <w:r>
        <w:t xml:space="preserve"> |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 |</w:t>
      </w:r>
    </w:p>
    <w:p>
      <w:pPr>
        <w:pStyle w:val="Heading2"/>
        <w:spacing w:after="160" w:before="280"/>
      </w:pPr>
      <w:r>
        <w:t xml:space="preserve">Attachment A — Rate Sheet</w:t>
      </w:r>
    </w:p>
    <w:p>
      <w:pPr>
        <w:spacing w:after="160"/>
        <w:jc w:val="both"/>
      </w:pPr>
      <w:r>
        <w:t xml:space="preserve">To the Subcontractor Agreement dated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t xml:space="preserve">| Role | Hourly rate, USD | | :---- | :---- | |  |  | |  |  | |  |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Drafters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Project Manager</dc:title>
  <dc:creator>Drafters</dc:creator>
  <dc:description>Exported from Drafters — Договір субпідряду — Project Manager</dc:description>
  <cp:lastModifiedBy>Un-named</cp:lastModifiedBy>
  <cp:revision>1</cp:revision>
  <dcterms:created xsi:type="dcterms:W3CDTF">2026-04-09T21:51:24.665Z</dcterms:created>
  <dcterms:modified xsi:type="dcterms:W3CDTF">2026-04-09T21:51:24.665Z</dcterms:modified>
</cp:coreProperties>
</file>

<file path=docProps/custom.xml><?xml version="1.0" encoding="utf-8"?>
<Properties xmlns="http://schemas.openxmlformats.org/officeDocument/2006/custom-properties" xmlns:vt="http://schemas.openxmlformats.org/officeDocument/2006/docPropsVTypes"/>
</file>