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6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spacing w:after="160" w:before="280"/>
      </w:pPr>
      <w:r>
        <w:t xml:space="preserve">Як цей пункт працює на практиці</w:t>
      </w:r>
    </w:p>
    <w:p>
      <w:pPr>
        <w:spacing w:after="16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60"/>
        <w:jc w:val="both"/>
      </w:pPr>
      <w:r>
        <w:t xml:space="preserve">Клієнти з bookkeeping-командами побачать це як велику цифру і поставлять оплату в пріоритет черги. 2. </w:t>
      </w: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 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spacing w:after="160" w:before="28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60"/>
        <w:jc w:val="both"/>
      </w:pPr>
      <w:r>
        <w:t xml:space="preserve">Якщо Клієнт правомірно оспорив суму — відсотки на оспорювану частину не нараховуються. - </w:t>
      </w: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 не заробляти на затримках. - </w:t>
      </w: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 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spacing w:after="160" w:before="280"/>
      </w:pPr>
      <w:r>
        <w:t xml:space="preserve">Чого немає в субпідрядних договорах</w:t>
      </w:r>
    </w:p>
    <w:p>
      <w:pPr>
        <w:spacing w:after="16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2026-04-09T21:51:24.691Z</dcterms:created>
  <dcterms:modified xsi:type="dcterms:W3CDTF">2026-04-09T21:51:24.691Z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